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CF2" w:rsidRPr="00BA7EA7" w:rsidRDefault="002E3CF2" w:rsidP="002D64F5">
      <w:pPr>
        <w:widowControl/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9E682C" w:rsidRPr="00BA7EA7" w:rsidRDefault="009E682C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660033"/>
          <w:sz w:val="26"/>
          <w:szCs w:val="26"/>
        </w:rPr>
      </w:pPr>
    </w:p>
    <w:p w:rsidR="00912704" w:rsidRPr="00BA7EA7" w:rsidRDefault="00912704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660033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Note d’information</w:t>
      </w:r>
      <w:r w:rsidR="00636E2D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 du </w:t>
      </w:r>
      <w:r w:rsidR="00032B79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Haut-commissariat</w:t>
      </w:r>
      <w:r w:rsidR="0069792B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 au Plan</w:t>
      </w:r>
    </w:p>
    <w:p w:rsidR="00912704" w:rsidRPr="00BA7EA7" w:rsidRDefault="00097300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660033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R</w:t>
      </w:r>
      <w:r w:rsidR="00912704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ésultats de l’enquête de conjoncture auprès des ménages </w:t>
      </w:r>
    </w:p>
    <w:p w:rsidR="00912704" w:rsidRDefault="00E22192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660033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>Premier trimestre de</w:t>
      </w:r>
      <w:r w:rsidR="00546559" w:rsidRPr="00BA7EA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 l’année</w:t>
      </w:r>
      <w:r w:rsidR="006E1CB7">
        <w:rPr>
          <w:rFonts w:asciiTheme="majorBidi" w:hAnsiTheme="majorBidi" w:cstheme="majorBidi"/>
          <w:b/>
          <w:bCs/>
          <w:color w:val="660033"/>
          <w:sz w:val="28"/>
          <w:szCs w:val="28"/>
        </w:rPr>
        <w:t xml:space="preserve"> </w:t>
      </w:r>
      <w:r w:rsidR="00AF0885">
        <w:rPr>
          <w:rFonts w:asciiTheme="majorBidi" w:hAnsiTheme="majorBidi" w:cstheme="majorBidi"/>
          <w:b/>
          <w:bCs/>
          <w:color w:val="660033"/>
          <w:sz w:val="28"/>
          <w:szCs w:val="28"/>
        </w:rPr>
        <w:t>2024</w:t>
      </w:r>
    </w:p>
    <w:p w:rsidR="004414D4" w:rsidRDefault="004414D4" w:rsidP="00BA7EA7">
      <w:pPr>
        <w:widowControl/>
        <w:spacing w:line="276" w:lineRule="auto"/>
        <w:jc w:val="center"/>
        <w:rPr>
          <w:rFonts w:asciiTheme="majorBidi" w:hAnsiTheme="majorBidi" w:cstheme="majorBidi"/>
          <w:b/>
          <w:bCs/>
          <w:color w:val="660033"/>
          <w:sz w:val="28"/>
          <w:szCs w:val="28"/>
        </w:rPr>
      </w:pPr>
    </w:p>
    <w:p w:rsidR="003E1E55" w:rsidRDefault="003E1E55" w:rsidP="00BA7EA7">
      <w:pPr>
        <w:widowControl/>
        <w:spacing w:line="276" w:lineRule="auto"/>
        <w:jc w:val="both"/>
        <w:rPr>
          <w:rFonts w:asciiTheme="majorBidi" w:hAnsiTheme="majorBidi" w:cstheme="majorBidi"/>
          <w:b/>
          <w:color w:val="000000" w:themeColor="text1"/>
          <w:sz w:val="26"/>
          <w:szCs w:val="26"/>
        </w:rPr>
      </w:pPr>
    </w:p>
    <w:p w:rsidR="00AF0885" w:rsidRPr="00570843" w:rsidRDefault="003E1E55" w:rsidP="00E92D0F">
      <w:pPr>
        <w:widowControl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570843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Les résultats de l’enquête permanente de conjoncture auprès des ménages, menée par le HCP, montrent qu’au premier trimestre de </w:t>
      </w:r>
      <w:r w:rsidR="00AF0885" w:rsidRPr="00570843">
        <w:rPr>
          <w:rFonts w:asciiTheme="majorBidi" w:hAnsiTheme="majorBidi" w:cstheme="majorBidi"/>
          <w:b/>
          <w:color w:val="000000" w:themeColor="text1"/>
          <w:sz w:val="26"/>
          <w:szCs w:val="26"/>
        </w:rPr>
        <w:t>2024</w:t>
      </w:r>
      <w:r w:rsidRPr="00570843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, </w:t>
      </w:r>
      <w:r w:rsidR="00AF0885" w:rsidRPr="00570843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le moral des ménages </w:t>
      </w:r>
      <w:r w:rsidR="009F7065">
        <w:rPr>
          <w:rFonts w:asciiTheme="majorBidi" w:hAnsiTheme="majorBidi" w:cstheme="majorBidi"/>
          <w:b/>
          <w:color w:val="000000" w:themeColor="text1"/>
          <w:sz w:val="26"/>
          <w:szCs w:val="26"/>
        </w:rPr>
        <w:t>connait</w:t>
      </w:r>
      <w:r w:rsidR="00AF0885" w:rsidRPr="00570843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 une </w:t>
      </w:r>
      <w:r w:rsidR="009F7065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relative </w:t>
      </w:r>
      <w:r w:rsidR="00AF0885" w:rsidRPr="00570843">
        <w:rPr>
          <w:rFonts w:asciiTheme="majorBidi" w:hAnsiTheme="majorBidi" w:cstheme="majorBidi"/>
          <w:b/>
          <w:color w:val="000000" w:themeColor="text1"/>
          <w:sz w:val="26"/>
          <w:szCs w:val="26"/>
        </w:rPr>
        <w:t>amélioration par rapport au trimestre précédent et une dégradation</w:t>
      </w:r>
      <w:r w:rsidR="0062089F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 d</w:t>
      </w:r>
      <w:r w:rsidR="00E92D0F">
        <w:rPr>
          <w:rFonts w:asciiTheme="majorBidi" w:hAnsiTheme="majorBidi" w:cstheme="majorBidi"/>
          <w:b/>
          <w:color w:val="000000" w:themeColor="text1"/>
          <w:sz w:val="26"/>
          <w:szCs w:val="26"/>
        </w:rPr>
        <w:t>u</w:t>
      </w:r>
      <w:bookmarkStart w:id="0" w:name="_GoBack"/>
      <w:bookmarkEnd w:id="0"/>
      <w:r w:rsidR="0062089F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 même ordre</w:t>
      </w:r>
      <w:r w:rsidR="00AF0885" w:rsidRPr="00570843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 par rapport au même trimestre de l’année </w:t>
      </w:r>
      <w:r w:rsidR="00C4008D" w:rsidRPr="00570843">
        <w:rPr>
          <w:rFonts w:asciiTheme="majorBidi" w:hAnsiTheme="majorBidi" w:cstheme="majorBidi"/>
          <w:b/>
          <w:color w:val="000000" w:themeColor="text1"/>
          <w:sz w:val="26"/>
          <w:szCs w:val="26"/>
        </w:rPr>
        <w:t>passée</w:t>
      </w:r>
      <w:r w:rsidR="00AF0885" w:rsidRPr="00570843">
        <w:rPr>
          <w:rFonts w:asciiTheme="majorBidi" w:hAnsiTheme="majorBidi" w:cstheme="majorBidi"/>
          <w:b/>
          <w:color w:val="000000" w:themeColor="text1"/>
          <w:sz w:val="26"/>
          <w:szCs w:val="26"/>
        </w:rPr>
        <w:t xml:space="preserve">. </w:t>
      </w:r>
    </w:p>
    <w:p w:rsidR="001930B7" w:rsidRPr="00BA7EA7" w:rsidRDefault="001930B7" w:rsidP="00AF0885">
      <w:pPr>
        <w:widowControl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CC7D03" w:rsidRPr="003C6260" w:rsidRDefault="00580123" w:rsidP="00F63CD9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L'indice de confiance des ménages (ICM) s’est ainsi établi à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45,3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0838B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points, au lieu de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44,3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enregistrés le trimestre </w:t>
      </w:r>
      <w:r w:rsidR="000838B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précédent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et </w:t>
      </w:r>
      <w:r w:rsidR="00CC7D03" w:rsidRPr="004A69BD">
        <w:rPr>
          <w:rFonts w:asciiTheme="majorBidi" w:hAnsiTheme="majorBidi" w:cstheme="majorBidi"/>
          <w:color w:val="000000" w:themeColor="text1"/>
          <w:sz w:val="26"/>
          <w:szCs w:val="26"/>
        </w:rPr>
        <w:t>46,3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points une année auparavant.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9631"/>
      </w:tblGrid>
      <w:tr w:rsidR="003C6260" w:rsidRPr="003C6260" w:rsidTr="003C6260">
        <w:tc>
          <w:tcPr>
            <w:tcW w:w="551" w:type="dxa"/>
            <w:tcMar>
              <w:top w:w="0" w:type="dxa"/>
              <w:left w:w="200" w:type="dxa"/>
              <w:bottom w:w="0" w:type="dxa"/>
              <w:right w:w="200" w:type="dxa"/>
            </w:tcMar>
            <w:hideMark/>
          </w:tcPr>
          <w:p w:rsidR="003C6260" w:rsidRPr="003C6260" w:rsidRDefault="003C6260" w:rsidP="003C6260">
            <w:p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  <w:tc>
          <w:tcPr>
            <w:tcW w:w="19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6260" w:rsidRPr="003C6260" w:rsidRDefault="003C6260" w:rsidP="003C6260">
            <w:p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</w:tc>
      </w:tr>
    </w:tbl>
    <w:p w:rsidR="0067164A" w:rsidRPr="00F63CD9" w:rsidRDefault="003E7898" w:rsidP="0067164A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F63CD9">
        <w:rPr>
          <w:rFonts w:asciiTheme="majorBidi" w:hAnsiTheme="majorBidi" w:cstheme="majorBidi"/>
          <w:b/>
          <w:bCs/>
          <w:color w:val="000000" w:themeColor="text1"/>
        </w:rPr>
        <w:t xml:space="preserve">Graphique 1 : Evolution de l'indice de confiance des ménages </w:t>
      </w:r>
    </w:p>
    <w:p w:rsidR="00257871" w:rsidRDefault="00257871" w:rsidP="0067164A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2F15A8" w:rsidRPr="00F27B9C" w:rsidRDefault="00B35FF5" w:rsidP="008B3B4F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>
            <wp:extent cx="6509340" cy="3306726"/>
            <wp:effectExtent l="19050" t="0" r="24810" b="7974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6260" w:rsidRDefault="00C03798" w:rsidP="000A7E83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3C6260" w:rsidRDefault="003C6260" w:rsidP="00BA7EA7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3C6260" w:rsidRPr="00BA7EA7" w:rsidRDefault="003C6260" w:rsidP="00BA7EA7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8D3806" w:rsidRPr="00BA7EA7" w:rsidRDefault="006F1D72" w:rsidP="00BA7EA7">
      <w:pPr>
        <w:pStyle w:val="Paragraphedeliste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bookmarkStart w:id="1" w:name="_Ref379209308"/>
      <w:r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Evolution des </w:t>
      </w:r>
      <w:r w:rsidR="00860E86"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composantes de</w:t>
      </w:r>
      <w:r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l'ICM</w:t>
      </w:r>
      <w:bookmarkEnd w:id="1"/>
    </w:p>
    <w:p w:rsidR="00C07FB5" w:rsidRPr="00BA7EA7" w:rsidRDefault="00722F6F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L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 composantes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 l’ICM 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portent sur la perception par les ménages de l’évolution du niveau de vie</w:t>
      </w:r>
      <w:r w:rsidR="005C2EDD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du chômage, de </w:t>
      </w:r>
      <w:r w:rsidR="008F33D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l’opportunité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à </w:t>
      </w:r>
      <w:r w:rsidR="008F33D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effectuer des achats de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biens</w:t>
      </w:r>
      <w:r w:rsidR="00C07FB5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durables et de </w:t>
      </w:r>
      <w:r w:rsidR="00560ED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leur situation financière.</w:t>
      </w:r>
    </w:p>
    <w:p w:rsidR="007B1D47" w:rsidRDefault="007B1D47" w:rsidP="00BA7EA7">
      <w:pPr>
        <w:widowControl/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C4008D" w:rsidRPr="002D58D8" w:rsidRDefault="00C4008D" w:rsidP="002D58D8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D58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Attente d’une amélioration du niveau de vie selon les perceptions des ménages </w:t>
      </w:r>
    </w:p>
    <w:p w:rsidR="008830DC" w:rsidRDefault="00580123" w:rsidP="005957C7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F0885">
        <w:rPr>
          <w:rFonts w:asciiTheme="majorBidi" w:hAnsiTheme="majorBidi" w:cstheme="majorBidi"/>
          <w:color w:val="000000" w:themeColor="text1"/>
          <w:sz w:val="26"/>
          <w:szCs w:val="26"/>
        </w:rPr>
        <w:t>2024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82,5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des ménages déclarent une dégradation du niveau de vie au cours des 12 derniers mois,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13,</w:t>
      </w:r>
      <w:r w:rsidR="005957C7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Pr="004A1AC9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un maintien au même niveau </w:t>
      </w:r>
      <w:r w:rsidRPr="004A1AC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et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4,4</w:t>
      </w:r>
      <w:r w:rsidRPr="004A1AC9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une amélioration. </w:t>
      </w:r>
      <w:r w:rsidR="008E570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Le solde d’opinion relatif à cet indicateur </w:t>
      </w:r>
      <w:r w:rsidR="008E570B" w:rsidRPr="004A1AC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s’établit à </w:t>
      </w:r>
      <w:r w:rsidR="008E570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CE42FB" w:rsidRPr="00621D9E">
        <w:rPr>
          <w:rFonts w:asciiTheme="majorBidi" w:hAnsiTheme="majorBidi" w:cstheme="majorBidi"/>
          <w:color w:val="000000" w:themeColor="text1"/>
          <w:sz w:val="26"/>
          <w:szCs w:val="26"/>
        </w:rPr>
        <w:t>78,1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8830DC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points,</w:t>
      </w:r>
      <w:r w:rsidR="008830DC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contre moins </w:t>
      </w:r>
      <w:r w:rsidR="008830DC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83,2 </w:t>
      </w:r>
      <w:r w:rsidR="008830DC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au trimestre précédent et moins </w:t>
      </w:r>
      <w:r w:rsidR="008830DC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>81,5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8830DC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>points au même trimestre de l’année passée.</w:t>
      </w:r>
    </w:p>
    <w:p w:rsidR="008830DC" w:rsidRDefault="008830DC" w:rsidP="004A1AC9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13463D" w:rsidRDefault="00580123" w:rsidP="005957C7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cours des 12 prochains mois,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56,9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des ménages s’attendent à une dégradation du niveau de vie,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33,</w:t>
      </w:r>
      <w:r w:rsidR="005957C7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="000F2E6E" w:rsidRPr="004A1AC9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0F2E6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à un maintien au même nive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et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9,6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% à une amélioration.</w:t>
      </w:r>
      <w:r w:rsidR="00C4008D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8E570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Le solde d’opinion sur l’évolution </w:t>
      </w:r>
      <w:r w:rsidR="008E570B" w:rsidRPr="006224E7">
        <w:rPr>
          <w:rFonts w:asciiTheme="majorBidi" w:hAnsiTheme="majorBidi" w:cstheme="majorBidi"/>
          <w:color w:val="000000" w:themeColor="text1"/>
          <w:sz w:val="26"/>
          <w:szCs w:val="26"/>
        </w:rPr>
        <w:t>future</w:t>
      </w:r>
      <w:r w:rsidR="008E570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du niveau de vie </w:t>
      </w:r>
      <w:r w:rsidR="008E570B" w:rsidRPr="004A1AC9">
        <w:rPr>
          <w:rFonts w:asciiTheme="majorBidi" w:hAnsiTheme="majorBidi" w:cstheme="majorBidi"/>
          <w:color w:val="000000" w:themeColor="text1"/>
          <w:sz w:val="26"/>
          <w:szCs w:val="26"/>
        </w:rPr>
        <w:t>est resté négatif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7562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à </w:t>
      </w:r>
      <w:r w:rsidR="008E570B" w:rsidRPr="004A1AC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CE42FB" w:rsidRPr="00621D9E">
        <w:rPr>
          <w:rFonts w:asciiTheme="majorBidi" w:hAnsiTheme="majorBidi" w:cstheme="majorBidi"/>
          <w:color w:val="000000" w:themeColor="text1"/>
          <w:sz w:val="26"/>
          <w:szCs w:val="26"/>
        </w:rPr>
        <w:t>47,3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8E570B" w:rsidRPr="004A1AC9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8E570B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contre moins </w:t>
      </w:r>
      <w:r w:rsidR="00CE42FB" w:rsidRPr="00621D9E">
        <w:rPr>
          <w:rFonts w:asciiTheme="majorBidi" w:hAnsiTheme="majorBidi" w:cstheme="majorBidi"/>
          <w:color w:val="000000" w:themeColor="text1"/>
          <w:sz w:val="26"/>
          <w:szCs w:val="26"/>
        </w:rPr>
        <w:t>49,0</w:t>
      </w:r>
      <w:r w:rsidR="00125C36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 xml:space="preserve"> </w:t>
      </w:r>
      <w:r w:rsidR="008E570B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>poi</w:t>
      </w:r>
      <w:r w:rsidR="004A1AC9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nts au trimestre précédent et </w:t>
      </w:r>
      <w:r w:rsidR="00D91048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8B21F1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38,8 </w:t>
      </w:r>
      <w:r w:rsidR="008E570B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>points au même trimestre de l’année passée.</w:t>
      </w:r>
    </w:p>
    <w:p w:rsidR="00E74ABD" w:rsidRDefault="00E74ABD" w:rsidP="00E74ABD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E74ABD" w:rsidRPr="00F63CD9" w:rsidRDefault="003E7898" w:rsidP="004856B0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F63CD9">
        <w:rPr>
          <w:rFonts w:asciiTheme="majorBidi" w:hAnsiTheme="majorBidi" w:cstheme="majorBidi"/>
          <w:b/>
          <w:bCs/>
          <w:color w:val="000000" w:themeColor="text1"/>
        </w:rPr>
        <w:t xml:space="preserve">Graphique 2 : </w:t>
      </w:r>
      <w:r w:rsidR="004856B0" w:rsidRPr="00F63CD9">
        <w:rPr>
          <w:rFonts w:asciiTheme="majorBidi" w:hAnsiTheme="majorBidi" w:cstheme="majorBidi"/>
          <w:b/>
          <w:bCs/>
          <w:color w:val="000000" w:themeColor="text1"/>
        </w:rPr>
        <w:t>E</w:t>
      </w:r>
      <w:r w:rsidR="00E74ABD" w:rsidRPr="00F63CD9">
        <w:rPr>
          <w:rFonts w:asciiTheme="majorBidi" w:hAnsiTheme="majorBidi" w:cstheme="majorBidi"/>
          <w:b/>
          <w:bCs/>
          <w:color w:val="000000" w:themeColor="text1"/>
        </w:rPr>
        <w:t>volution du niveau de vie</w:t>
      </w:r>
      <w:r w:rsidR="004856B0" w:rsidRPr="00F63CD9">
        <w:rPr>
          <w:rFonts w:asciiTheme="majorBidi" w:hAnsiTheme="majorBidi" w:cstheme="majorBidi"/>
          <w:b/>
          <w:bCs/>
          <w:color w:val="000000" w:themeColor="text1"/>
        </w:rPr>
        <w:t xml:space="preserve"> selon les perceptions des ménages</w:t>
      </w:r>
      <w:r w:rsidR="00E74ABD" w:rsidRPr="00F63CD9">
        <w:rPr>
          <w:rFonts w:asciiTheme="majorBidi" w:hAnsiTheme="majorBidi" w:cstheme="majorBidi"/>
          <w:b/>
          <w:bCs/>
          <w:color w:val="000000" w:themeColor="text1"/>
        </w:rPr>
        <w:t xml:space="preserve"> (soldes d'opinions) </w:t>
      </w:r>
    </w:p>
    <w:p w:rsidR="00754E50" w:rsidRPr="00F27B9C" w:rsidRDefault="00257871" w:rsidP="00E74ABD">
      <w:pPr>
        <w:spacing w:before="240"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>
            <wp:extent cx="6456178" cy="4391247"/>
            <wp:effectExtent l="19050" t="0" r="20822" b="9303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7898" w:rsidRDefault="003E7898" w:rsidP="00BA7EA7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4A1AC9" w:rsidRDefault="004A1AC9" w:rsidP="00BA7EA7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C4008D" w:rsidRPr="002D58D8" w:rsidRDefault="00C4008D" w:rsidP="002D58D8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D58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Evolution du chômage : perceptions moins négatives</w:t>
      </w:r>
    </w:p>
    <w:p w:rsidR="00164979" w:rsidRDefault="00580123" w:rsidP="007D5525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F0885">
        <w:rPr>
          <w:rFonts w:asciiTheme="majorBidi" w:hAnsiTheme="majorBidi" w:cstheme="majorBidi"/>
          <w:color w:val="000000" w:themeColor="text1"/>
          <w:sz w:val="26"/>
          <w:szCs w:val="26"/>
        </w:rPr>
        <w:t>2024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83,6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% contre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6,1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% des ménages s’attendent à une hausse du chômage au cours des 12 prochains mois. Le solde d’opinion est resté ainsi négatif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à moins </w:t>
      </w:r>
      <w:r w:rsidR="00CE42FB" w:rsidRPr="00621D9E">
        <w:rPr>
          <w:rFonts w:asciiTheme="majorBidi" w:hAnsiTheme="majorBidi" w:cstheme="majorBidi"/>
          <w:color w:val="000000" w:themeColor="text1"/>
          <w:sz w:val="26"/>
          <w:szCs w:val="26"/>
        </w:rPr>
        <w:t>77,5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142A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contre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moins </w:t>
      </w:r>
      <w:r w:rsidR="00CE42FB" w:rsidRPr="00621D9E">
        <w:rPr>
          <w:rFonts w:asciiTheme="majorBidi" w:hAnsiTheme="majorBidi" w:cstheme="majorBidi"/>
          <w:color w:val="000000" w:themeColor="text1"/>
          <w:sz w:val="26"/>
          <w:szCs w:val="26"/>
        </w:rPr>
        <w:t>80,3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</w:t>
      </w:r>
      <w:r w:rsidR="00C142A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un trimestre auparavant et </w:t>
      </w:r>
      <w:r w:rsidR="00181B02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8B21F1" w:rsidRPr="008D19E3">
        <w:rPr>
          <w:rFonts w:asciiTheme="majorBidi" w:hAnsiTheme="majorBidi" w:cstheme="majorBidi"/>
          <w:color w:val="000000" w:themeColor="text1"/>
          <w:sz w:val="26"/>
          <w:szCs w:val="26"/>
        </w:rPr>
        <w:t>81,4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C142A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un an auparavant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9C7E2C" w:rsidRDefault="009C7E2C" w:rsidP="007D5525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FB75F8" w:rsidRDefault="00FB75F8" w:rsidP="004A1AC9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F63CD9" w:rsidRDefault="00F63CD9" w:rsidP="004A1AC9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E74ABD" w:rsidRDefault="00161D6D" w:rsidP="00F63CD9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F63CD9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Graphique 3 : </w:t>
      </w:r>
      <w:r w:rsidR="004856B0" w:rsidRPr="00F63CD9">
        <w:rPr>
          <w:rFonts w:asciiTheme="majorBidi" w:hAnsiTheme="majorBidi" w:cstheme="majorBidi"/>
          <w:b/>
          <w:bCs/>
          <w:color w:val="000000" w:themeColor="text1"/>
        </w:rPr>
        <w:t>E</w:t>
      </w:r>
      <w:r w:rsidR="00E74ABD" w:rsidRPr="00F22732">
        <w:rPr>
          <w:rFonts w:asciiTheme="majorBidi" w:hAnsiTheme="majorBidi" w:cstheme="majorBidi"/>
          <w:b/>
          <w:bCs/>
          <w:color w:val="000000" w:themeColor="text1"/>
        </w:rPr>
        <w:t xml:space="preserve">volution du nombre de chômeurs </w:t>
      </w:r>
      <w:r w:rsidR="004856B0">
        <w:rPr>
          <w:rFonts w:asciiTheme="majorBidi" w:hAnsiTheme="majorBidi" w:cstheme="majorBidi"/>
          <w:b/>
          <w:bCs/>
          <w:color w:val="000000" w:themeColor="text1"/>
        </w:rPr>
        <w:t>selon les p</w:t>
      </w:r>
      <w:r w:rsidR="004856B0" w:rsidRPr="0085708B">
        <w:rPr>
          <w:rFonts w:asciiTheme="majorBidi" w:hAnsiTheme="majorBidi" w:cstheme="majorBidi"/>
          <w:b/>
          <w:bCs/>
          <w:color w:val="000000" w:themeColor="text1"/>
        </w:rPr>
        <w:t>erception</w:t>
      </w:r>
      <w:r w:rsidR="004856B0">
        <w:rPr>
          <w:rFonts w:asciiTheme="majorBidi" w:hAnsiTheme="majorBidi" w:cstheme="majorBidi"/>
          <w:b/>
          <w:bCs/>
          <w:color w:val="000000" w:themeColor="text1"/>
        </w:rPr>
        <w:t>s</w:t>
      </w:r>
      <w:r w:rsidR="004856B0" w:rsidRPr="0085708B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4856B0">
        <w:rPr>
          <w:rFonts w:asciiTheme="majorBidi" w:hAnsiTheme="majorBidi" w:cstheme="majorBidi"/>
          <w:b/>
          <w:bCs/>
          <w:color w:val="000000" w:themeColor="text1"/>
        </w:rPr>
        <w:t>d</w:t>
      </w:r>
      <w:r w:rsidR="004856B0" w:rsidRPr="0085708B">
        <w:rPr>
          <w:rFonts w:asciiTheme="majorBidi" w:hAnsiTheme="majorBidi" w:cstheme="majorBidi"/>
          <w:b/>
          <w:bCs/>
          <w:color w:val="000000" w:themeColor="text1"/>
        </w:rPr>
        <w:t xml:space="preserve">es ménages </w:t>
      </w:r>
      <w:r w:rsidR="00E74ABD" w:rsidRPr="00F22732">
        <w:rPr>
          <w:rFonts w:asciiTheme="majorBidi" w:hAnsiTheme="majorBidi" w:cstheme="majorBidi"/>
          <w:b/>
          <w:bCs/>
          <w:color w:val="000000" w:themeColor="text1"/>
        </w:rPr>
        <w:t>(soldes d'opinions)</w:t>
      </w:r>
    </w:p>
    <w:p w:rsidR="00257871" w:rsidRPr="00F63CD9" w:rsidRDefault="00257871" w:rsidP="00F63CD9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</w:rPr>
      </w:pPr>
    </w:p>
    <w:p w:rsidR="00184134" w:rsidRPr="002D64F5" w:rsidRDefault="00257871" w:rsidP="008B3B4F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>
            <wp:extent cx="6466810" cy="2792553"/>
            <wp:effectExtent l="19050" t="0" r="10190" b="7797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7898" w:rsidRPr="00BA7EA7" w:rsidRDefault="003E7898" w:rsidP="00BA7EA7">
      <w:pPr>
        <w:pStyle w:val="Paragraphedeliste"/>
        <w:tabs>
          <w:tab w:val="left" w:pos="709"/>
        </w:tabs>
        <w:ind w:left="360"/>
        <w:rPr>
          <w:rFonts w:asciiTheme="majorBidi" w:hAnsiTheme="majorBidi" w:cstheme="majorBidi"/>
          <w:b/>
          <w:bCs/>
          <w:color w:val="000000" w:themeColor="text1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</w:rPr>
        <w:t>Source : HCP, Enquête permanente de conjoncture auprès des ménages</w:t>
      </w:r>
    </w:p>
    <w:p w:rsidR="003E7898" w:rsidRDefault="003E7898" w:rsidP="00BA7EA7">
      <w:pPr>
        <w:pStyle w:val="Paragraphedeliste"/>
        <w:tabs>
          <w:tab w:val="left" w:pos="709"/>
        </w:tabs>
        <w:ind w:left="360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724E91" w:rsidRPr="002D58D8" w:rsidRDefault="00A33336" w:rsidP="002D58D8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D58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Une c</w:t>
      </w:r>
      <w:r w:rsidR="003541C4" w:rsidRPr="002D58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onjoncture</w:t>
      </w:r>
      <w:r w:rsidR="001A7EA2" w:rsidRPr="002D58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051A04" w:rsidRPr="002D58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pe</w:t>
      </w:r>
      <w:r w:rsidR="009632D4" w:rsidRPr="002D58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u propice </w:t>
      </w:r>
      <w:r w:rsidR="00051A04" w:rsidRPr="002D58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à l’achat des biens durables </w:t>
      </w:r>
    </w:p>
    <w:p w:rsidR="00492CCE" w:rsidRDefault="00580123" w:rsidP="00FE3EDA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F0885">
        <w:rPr>
          <w:rFonts w:asciiTheme="majorBidi" w:hAnsiTheme="majorBidi" w:cstheme="majorBidi"/>
          <w:color w:val="000000" w:themeColor="text1"/>
          <w:sz w:val="26"/>
          <w:szCs w:val="26"/>
        </w:rPr>
        <w:t>2024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80,7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contre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7,8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% des ménages considèrent que le moment n’est pas opportun pour effectuer des achats de biens durables</w:t>
      </w:r>
      <w:r w:rsidR="005957C7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4343B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Le solde d’opinion relatif à cet indicateur </w:t>
      </w:r>
      <w:r w:rsidR="00492CCE" w:rsidRPr="004A1AC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s’établit à </w:t>
      </w:r>
      <w:r w:rsidR="00492CC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492CCE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72,9 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en </w:t>
      </w:r>
      <w:r w:rsidR="00492CCE">
        <w:rPr>
          <w:rFonts w:asciiTheme="majorBidi" w:hAnsiTheme="majorBidi" w:cstheme="majorBidi"/>
          <w:color w:val="000000" w:themeColor="text1"/>
          <w:sz w:val="26"/>
          <w:szCs w:val="26"/>
        </w:rPr>
        <w:t>dégradation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aussi bien par rapport au trimestre précédent que par rapport au même trimestre de l’année précédente où il était à moins </w:t>
      </w:r>
      <w:r w:rsidR="009C7E2C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>70,4 points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et à moins </w:t>
      </w:r>
      <w:r w:rsidR="00492CCE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69,8 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respectivement. </w:t>
      </w:r>
    </w:p>
    <w:p w:rsidR="00FE3EDA" w:rsidRDefault="00FE3EDA" w:rsidP="00FE3EDA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573CDB" w:rsidRDefault="00161D6D" w:rsidP="00F63CD9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F63CD9">
        <w:rPr>
          <w:rFonts w:asciiTheme="majorBidi" w:hAnsiTheme="majorBidi" w:cstheme="majorBidi"/>
          <w:b/>
          <w:bCs/>
          <w:color w:val="000000" w:themeColor="text1"/>
        </w:rPr>
        <w:t xml:space="preserve">Graphique 4 : </w:t>
      </w:r>
      <w:r w:rsidR="004856B0" w:rsidRPr="00F63CD9">
        <w:rPr>
          <w:rFonts w:asciiTheme="majorBidi" w:hAnsiTheme="majorBidi" w:cstheme="majorBidi"/>
          <w:b/>
          <w:bCs/>
          <w:color w:val="000000" w:themeColor="text1"/>
        </w:rPr>
        <w:t>O</w:t>
      </w:r>
      <w:r w:rsidR="00E74ABD" w:rsidRPr="00F22732">
        <w:rPr>
          <w:rFonts w:asciiTheme="majorBidi" w:hAnsiTheme="majorBidi" w:cstheme="majorBidi"/>
          <w:b/>
          <w:bCs/>
          <w:color w:val="000000" w:themeColor="text1"/>
        </w:rPr>
        <w:t>pportunité d'achat des biens durables</w:t>
      </w:r>
      <w:r w:rsidR="004856B0" w:rsidRPr="004856B0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4856B0">
        <w:rPr>
          <w:rFonts w:asciiTheme="majorBidi" w:hAnsiTheme="majorBidi" w:cstheme="majorBidi"/>
          <w:b/>
          <w:bCs/>
          <w:color w:val="000000" w:themeColor="text1"/>
        </w:rPr>
        <w:t>selon les p</w:t>
      </w:r>
      <w:r w:rsidR="004856B0" w:rsidRPr="0085708B">
        <w:rPr>
          <w:rFonts w:asciiTheme="majorBidi" w:hAnsiTheme="majorBidi" w:cstheme="majorBidi"/>
          <w:b/>
          <w:bCs/>
          <w:color w:val="000000" w:themeColor="text1"/>
        </w:rPr>
        <w:t>erception</w:t>
      </w:r>
      <w:r w:rsidR="004856B0">
        <w:rPr>
          <w:rFonts w:asciiTheme="majorBidi" w:hAnsiTheme="majorBidi" w:cstheme="majorBidi"/>
          <w:b/>
          <w:bCs/>
          <w:color w:val="000000" w:themeColor="text1"/>
        </w:rPr>
        <w:t>s</w:t>
      </w:r>
      <w:r w:rsidR="004856B0" w:rsidRPr="0085708B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4856B0">
        <w:rPr>
          <w:rFonts w:asciiTheme="majorBidi" w:hAnsiTheme="majorBidi" w:cstheme="majorBidi"/>
          <w:b/>
          <w:bCs/>
          <w:color w:val="000000" w:themeColor="text1"/>
        </w:rPr>
        <w:t>d</w:t>
      </w:r>
      <w:r w:rsidR="004856B0" w:rsidRPr="0085708B">
        <w:rPr>
          <w:rFonts w:asciiTheme="majorBidi" w:hAnsiTheme="majorBidi" w:cstheme="majorBidi"/>
          <w:b/>
          <w:bCs/>
          <w:color w:val="000000" w:themeColor="text1"/>
        </w:rPr>
        <w:t>es ménages</w:t>
      </w:r>
      <w:r w:rsidR="00E74ABD" w:rsidRPr="00F22732">
        <w:rPr>
          <w:rFonts w:asciiTheme="majorBidi" w:hAnsiTheme="majorBidi" w:cstheme="majorBidi"/>
          <w:b/>
          <w:bCs/>
          <w:color w:val="000000" w:themeColor="text1"/>
        </w:rPr>
        <w:t xml:space="preserve"> (soldes d'opinions)</w:t>
      </w:r>
    </w:p>
    <w:p w:rsidR="009C7E2C" w:rsidRDefault="009C7E2C" w:rsidP="00FE3EDA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D326DA" w:rsidRPr="002D64F5" w:rsidRDefault="00257871" w:rsidP="008B3B4F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>
            <wp:extent cx="6467283" cy="2720030"/>
            <wp:effectExtent l="19050" t="0" r="9717" b="412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7898" w:rsidRDefault="003E7898" w:rsidP="00BA7EA7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C4008D" w:rsidRPr="002D58D8" w:rsidRDefault="00C4008D" w:rsidP="002D58D8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D58D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Situation financière des ménages : sentiment d’une amélioration </w:t>
      </w:r>
    </w:p>
    <w:p w:rsidR="007D00CB" w:rsidRPr="007D00CB" w:rsidRDefault="00516548" w:rsidP="009C7E2C">
      <w:pPr>
        <w:spacing w:before="240"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F0885">
        <w:rPr>
          <w:rFonts w:asciiTheme="majorBidi" w:hAnsiTheme="majorBidi" w:cstheme="majorBidi"/>
          <w:color w:val="000000" w:themeColor="text1"/>
          <w:sz w:val="26"/>
          <w:szCs w:val="26"/>
        </w:rPr>
        <w:t>2024</w:t>
      </w:r>
      <w:r w:rsidR="00E03B6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55,9</w:t>
      </w:r>
      <w:r w:rsidR="00E03B6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% des ménages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03B6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estiment que leurs revenus couvrent leurs dépenses,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42,</w:t>
      </w:r>
      <w:r w:rsidR="005957C7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="00E03B6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déclarent s’endetter ou puiser dans leur épargne et </w:t>
      </w:r>
      <w:r w:rsidR="007D5525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1,</w:t>
      </w:r>
      <w:r w:rsidR="007D00CB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E03B6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% affirment épargner une partie de leur revenu.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03B6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Le solde d’opinion </w:t>
      </w:r>
      <w:r w:rsidR="007A29D4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relatif à</w:t>
      </w:r>
      <w:r w:rsidR="00E03B6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la situation financière actuelle des ménages est resté ainsi négatif, à moins </w:t>
      </w:r>
      <w:r w:rsidR="00CE42FB" w:rsidRPr="00621D9E">
        <w:rPr>
          <w:rFonts w:asciiTheme="majorBidi" w:hAnsiTheme="majorBidi" w:cstheme="majorBidi"/>
          <w:color w:val="000000" w:themeColor="text1"/>
          <w:sz w:val="26"/>
          <w:szCs w:val="26"/>
        </w:rPr>
        <w:t>40,</w:t>
      </w:r>
      <w:r w:rsidR="009C7E2C">
        <w:rPr>
          <w:rFonts w:asciiTheme="majorBidi" w:hAnsiTheme="majorBidi" w:cstheme="majorBidi"/>
          <w:color w:val="000000" w:themeColor="text1"/>
          <w:sz w:val="26"/>
          <w:szCs w:val="26"/>
        </w:rPr>
        <w:t>5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03B6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D90C0D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contre </w:t>
      </w:r>
      <w:r w:rsidR="00A54254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CE42FB" w:rsidRPr="00621D9E">
        <w:rPr>
          <w:rFonts w:asciiTheme="majorBidi" w:hAnsiTheme="majorBidi" w:cstheme="majorBidi"/>
          <w:color w:val="000000" w:themeColor="text1"/>
          <w:sz w:val="26"/>
          <w:szCs w:val="26"/>
        </w:rPr>
        <w:t>40,3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B09C4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142668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un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trimestre </w:t>
      </w:r>
      <w:r w:rsidR="00142668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auparavant </w:t>
      </w:r>
      <w:r w:rsidR="00A54254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et moins </w:t>
      </w:r>
      <w:r w:rsidR="008B21F1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42,0 </w:t>
      </w:r>
      <w:r w:rsidR="005B09C4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54254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une année auparavant.</w:t>
      </w:r>
    </w:p>
    <w:p w:rsidR="00CC7D03" w:rsidRPr="00A64528" w:rsidRDefault="00CC7D03" w:rsidP="007D5525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E1782F" w:rsidRDefault="00035053" w:rsidP="007D5525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Quant à</w:t>
      </w:r>
      <w:r w:rsidR="002B7C12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l’évolution de</w:t>
      </w:r>
      <w:r w:rsidR="00F45C72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leur </w:t>
      </w:r>
      <w:r w:rsidR="0016780D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situation financière</w:t>
      </w:r>
      <w:r w:rsidR="00F45C72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au cours des 12 derniers mois</w:t>
      </w:r>
      <w:r w:rsidR="0016780D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56,2</w:t>
      </w:r>
      <w:r w:rsidR="00540BE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5D3956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contre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3,5</w:t>
      </w:r>
      <w:r w:rsidR="005D3956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16780D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des ménages considèrent qu’elle </w:t>
      </w:r>
      <w:r w:rsidR="00540BE7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s’est dégradée</w:t>
      </w:r>
      <w:r w:rsidR="0016780D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Cette perception reste </w:t>
      </w:r>
      <w:r w:rsidR="00F45C72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ainsi </w:t>
      </w:r>
      <w:r w:rsidR="0016780D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négative, </w:t>
      </w:r>
      <w:r w:rsidR="00F45C72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avec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F45C72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un solde d’opinion de </w:t>
      </w:r>
      <w:r w:rsidR="006617C3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moins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E42FB" w:rsidRPr="00873B08">
        <w:rPr>
          <w:rFonts w:asciiTheme="majorBidi" w:hAnsiTheme="majorBidi" w:cstheme="majorBidi"/>
          <w:color w:val="000000" w:themeColor="text1"/>
          <w:sz w:val="26"/>
          <w:szCs w:val="26"/>
        </w:rPr>
        <w:t>52,7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617C3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E624F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contre </w:t>
      </w:r>
      <w:r w:rsidR="005B09C4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CE42FB" w:rsidRPr="00873B08">
        <w:rPr>
          <w:rFonts w:asciiTheme="majorBidi" w:hAnsiTheme="majorBidi" w:cstheme="majorBidi"/>
          <w:color w:val="000000" w:themeColor="text1"/>
          <w:sz w:val="26"/>
          <w:szCs w:val="26"/>
        </w:rPr>
        <w:t>56,1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B09C4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</w:t>
      </w:r>
      <w:r w:rsidR="001143FE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BE624F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trimestre précèdent et moins </w:t>
      </w:r>
      <w:r w:rsidR="008B21F1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57,</w:t>
      </w:r>
      <w:r w:rsidR="008B21F1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E624F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au </w:t>
      </w:r>
      <w:r w:rsidR="001143FE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>même trimestre de l’année précédente</w:t>
      </w:r>
      <w:r w:rsidR="00BE624F" w:rsidRPr="00A6452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</w:p>
    <w:p w:rsidR="00CC7D03" w:rsidRPr="00A64528" w:rsidRDefault="00CC7D03" w:rsidP="00A64528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492CCE" w:rsidRDefault="00491FB6" w:rsidP="00492CCE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B28F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S’agissant </w:t>
      </w:r>
      <w:r w:rsidR="00B56764" w:rsidRPr="00BB28FE">
        <w:rPr>
          <w:rFonts w:asciiTheme="majorBidi" w:hAnsiTheme="majorBidi" w:cstheme="majorBidi"/>
          <w:color w:val="000000" w:themeColor="text1"/>
          <w:sz w:val="26"/>
          <w:szCs w:val="26"/>
        </w:rPr>
        <w:t>de l’évolution</w:t>
      </w:r>
      <w:r w:rsidR="00375898" w:rsidRPr="00BB28F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au cours des 12 prochains mois, </w:t>
      </w:r>
      <w:r w:rsidR="00D41CA0" w:rsidRPr="00BB28FE">
        <w:rPr>
          <w:rFonts w:asciiTheme="majorBidi" w:hAnsiTheme="majorBidi" w:cstheme="majorBidi"/>
          <w:color w:val="000000" w:themeColor="text1"/>
          <w:sz w:val="26"/>
          <w:szCs w:val="26"/>
        </w:rPr>
        <w:t>de leur situation financière</w:t>
      </w:r>
      <w:r w:rsidR="00B56764" w:rsidRPr="00BB28FE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16,5</w:t>
      </w:r>
      <w:r w:rsidR="00F45C72" w:rsidRPr="00BB28FE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75898" w:rsidRPr="00BB28F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des ménages </w:t>
      </w:r>
      <w:r w:rsidR="009C1C9C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contre </w:t>
      </w:r>
      <w:r w:rsidR="00CC7D0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29,9</w:t>
      </w:r>
      <w:r w:rsidR="009C1C9C" w:rsidRPr="00BB28F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</w:t>
      </w:r>
      <w:r w:rsidR="00375898" w:rsidRPr="00BB28FE">
        <w:rPr>
          <w:rFonts w:asciiTheme="majorBidi" w:hAnsiTheme="majorBidi" w:cstheme="majorBidi"/>
          <w:color w:val="000000" w:themeColor="text1"/>
          <w:sz w:val="26"/>
          <w:szCs w:val="26"/>
        </w:rPr>
        <w:t>s’attendent à son amélioration</w:t>
      </w:r>
      <w:r w:rsidR="009C1C9C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Le solde d’opinion relatif à cet indicateur </w:t>
      </w:r>
      <w:r w:rsidR="00492CCE" w:rsidRPr="004A1AC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s’établit à </w:t>
      </w:r>
      <w:r w:rsidR="00492CC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492CCE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13,4 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en </w:t>
      </w:r>
      <w:r w:rsidR="00492CCE">
        <w:rPr>
          <w:rFonts w:asciiTheme="majorBidi" w:hAnsiTheme="majorBidi" w:cstheme="majorBidi"/>
          <w:color w:val="000000" w:themeColor="text1"/>
          <w:sz w:val="26"/>
          <w:szCs w:val="26"/>
        </w:rPr>
        <w:t>dégradation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aussi bien par rapport au trimestre précédent que par rapport au même trimestre de l’année précédente où il était à moins </w:t>
      </w:r>
      <w:r w:rsidR="00492CCE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10,6 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et à moins </w:t>
      </w:r>
      <w:r w:rsidR="00492CCE" w:rsidRPr="00B246AF">
        <w:rPr>
          <w:rFonts w:asciiTheme="majorBidi" w:hAnsiTheme="majorBidi" w:cstheme="majorBidi"/>
          <w:color w:val="000000" w:themeColor="text1"/>
          <w:sz w:val="26"/>
          <w:szCs w:val="26"/>
        </w:rPr>
        <w:t>5,2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92CCE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respectivement. </w:t>
      </w:r>
    </w:p>
    <w:p w:rsidR="004A1AC9" w:rsidRPr="00E1782F" w:rsidRDefault="004A1AC9" w:rsidP="001A7EA2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E74ABD" w:rsidRDefault="001A4A45" w:rsidP="00F63CD9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F63CD9">
        <w:rPr>
          <w:rFonts w:asciiTheme="majorBidi" w:hAnsiTheme="majorBidi" w:cstheme="majorBidi"/>
          <w:b/>
          <w:bCs/>
          <w:color w:val="000000" w:themeColor="text1"/>
        </w:rPr>
        <w:t xml:space="preserve">Graphique 5 : </w:t>
      </w:r>
      <w:r w:rsidR="00E74ABD" w:rsidRPr="00F22732">
        <w:rPr>
          <w:rFonts w:asciiTheme="majorBidi" w:hAnsiTheme="majorBidi" w:cstheme="majorBidi"/>
          <w:b/>
          <w:bCs/>
          <w:color w:val="000000" w:themeColor="text1"/>
        </w:rPr>
        <w:t xml:space="preserve">Perception par les ménages de </w:t>
      </w:r>
      <w:r w:rsidR="00E74ABD">
        <w:rPr>
          <w:rFonts w:asciiTheme="majorBidi" w:hAnsiTheme="majorBidi" w:cstheme="majorBidi"/>
          <w:b/>
          <w:bCs/>
          <w:color w:val="000000" w:themeColor="text1"/>
        </w:rPr>
        <w:t xml:space="preserve">l’évolution de </w:t>
      </w:r>
      <w:r w:rsidR="00E74ABD" w:rsidRPr="00F22732">
        <w:rPr>
          <w:rFonts w:asciiTheme="majorBidi" w:hAnsiTheme="majorBidi" w:cstheme="majorBidi"/>
          <w:b/>
          <w:bCs/>
          <w:color w:val="000000" w:themeColor="text1"/>
        </w:rPr>
        <w:t xml:space="preserve">leurs situations financières (soldes d'opinions) </w:t>
      </w:r>
    </w:p>
    <w:p w:rsidR="002D64F5" w:rsidRPr="002D64F5" w:rsidRDefault="00257871" w:rsidP="00E74ABD">
      <w:pPr>
        <w:tabs>
          <w:tab w:val="left" w:pos="709"/>
        </w:tabs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>
            <wp:extent cx="6519973" cy="3957689"/>
            <wp:effectExtent l="19050" t="0" r="14177" b="4711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7898" w:rsidRPr="00BA7EA7" w:rsidRDefault="003E7898" w:rsidP="00BA7EA7">
      <w:pPr>
        <w:widowControl/>
        <w:tabs>
          <w:tab w:val="left" w:pos="709"/>
        </w:tabs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BA7EA7" w:rsidRDefault="00BA7EA7" w:rsidP="00BA7EA7">
      <w:pPr>
        <w:widowControl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566CFC" w:rsidRDefault="00566CFC" w:rsidP="00BA7EA7">
      <w:pPr>
        <w:widowControl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566CFC" w:rsidRDefault="00566CFC" w:rsidP="00BA7EA7">
      <w:pPr>
        <w:widowControl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:rsidR="000E21A1" w:rsidRPr="00BA7EA7" w:rsidRDefault="000E21A1" w:rsidP="00BA7EA7">
      <w:pPr>
        <w:pStyle w:val="Paragraphedeliste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Evolution d’autres indicateurs </w:t>
      </w:r>
      <w:r w:rsidR="005D5DB2"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trimestriels </w:t>
      </w:r>
      <w:r w:rsidR="00D75C4F" w:rsidRPr="00BA7EA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 la conjoncture</w:t>
      </w:r>
    </w:p>
    <w:p w:rsidR="00BA7EA7" w:rsidRPr="00BA7EA7" w:rsidRDefault="00D52D57" w:rsidP="00566CFC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L’enquête fournit également des données trimestrielles sur l</w:t>
      </w:r>
      <w:r w:rsidR="001F7D3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 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perception des ménages relatives à d’autres aspects des conditions de vie. Il s’agit en particulier de la </w:t>
      </w:r>
      <w:r w:rsidR="001F7D3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capacité des ménages à épargner et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9C7E2C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de l’évolution</w:t>
      </w:r>
      <w:r w:rsidR="001F7D34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des prix des produits alimentaires</w:t>
      </w:r>
      <w:r w:rsidR="0071373B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</w:p>
    <w:p w:rsidR="004F6DE8" w:rsidRPr="0067164A" w:rsidRDefault="004F6DE8" w:rsidP="00566CFC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66CF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Capacité future à épargner : perceptions</w:t>
      </w:r>
      <w:r w:rsidRPr="006716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toujours pessimistes</w:t>
      </w:r>
    </w:p>
    <w:p w:rsidR="008658DF" w:rsidRDefault="00AE5641" w:rsidP="00566CFC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premier trimestre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0E613E">
        <w:rPr>
          <w:rFonts w:asciiTheme="majorBidi" w:hAnsiTheme="majorBidi" w:cstheme="majorBidi"/>
          <w:color w:val="000000" w:themeColor="text1"/>
          <w:sz w:val="26"/>
          <w:szCs w:val="26"/>
        </w:rPr>
        <w:t>2024, 9,3</w:t>
      </w:r>
      <w:r w:rsidR="00932455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56C03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contre </w:t>
      </w:r>
      <w:r w:rsidR="00B6667D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90,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>7</w:t>
      </w:r>
      <w:r w:rsidR="00256C03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DE048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des ménages</w:t>
      </w:r>
      <w:r w:rsidR="00142668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153FC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s’attendent à </w:t>
      </w:r>
      <w:r w:rsidR="00511C57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épargner au cours des 12 prochains </w:t>
      </w:r>
      <w:r w:rsidR="0005706F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mois</w:t>
      </w:r>
      <w:r w:rsidR="00507FF6" w:rsidRPr="00912930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775C4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8658D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Le solde d’opinion relatif à cet indicateur </w:t>
      </w:r>
      <w:r w:rsidR="008658DF" w:rsidRPr="004A1AC9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s’établit à </w:t>
      </w:r>
      <w:r w:rsidR="008658DF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8658DF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>81,</w:t>
      </w:r>
      <w:r w:rsidR="00566CFC">
        <w:rPr>
          <w:rFonts w:asciiTheme="majorBidi" w:hAnsiTheme="majorBidi" w:cstheme="majorBidi"/>
          <w:color w:val="000000" w:themeColor="text1"/>
          <w:sz w:val="26"/>
          <w:szCs w:val="26"/>
        </w:rPr>
        <w:t>4</w:t>
      </w:r>
      <w:r w:rsidR="008658DF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8658D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en </w:t>
      </w:r>
      <w:r w:rsidR="008658DF">
        <w:rPr>
          <w:rFonts w:asciiTheme="majorBidi" w:hAnsiTheme="majorBidi" w:cstheme="majorBidi"/>
          <w:color w:val="000000" w:themeColor="text1"/>
          <w:sz w:val="26"/>
          <w:szCs w:val="26"/>
        </w:rPr>
        <w:t>dégradation</w:t>
      </w:r>
      <w:r w:rsidR="008658D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aussi bien par rapport au trimestre précédent que par rapport au même trimestre de l’année précédente où il était à moins </w:t>
      </w:r>
      <w:r w:rsidR="008658DF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80,7 </w:t>
      </w:r>
      <w:r w:rsidR="008658D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et à moins </w:t>
      </w:r>
      <w:r w:rsidR="008658DF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>76,</w:t>
      </w:r>
      <w:r w:rsidR="00566CFC">
        <w:rPr>
          <w:rFonts w:asciiTheme="majorBidi" w:hAnsiTheme="majorBidi" w:cstheme="majorBidi"/>
          <w:color w:val="000000" w:themeColor="text1"/>
          <w:sz w:val="26"/>
          <w:szCs w:val="26"/>
        </w:rPr>
        <w:t>1</w:t>
      </w:r>
      <w:r w:rsidR="008658DF" w:rsidRPr="005957C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8658DF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respectivement. </w:t>
      </w:r>
    </w:p>
    <w:p w:rsidR="002D58D8" w:rsidRPr="009C7E2C" w:rsidRDefault="002D58D8" w:rsidP="002D58D8">
      <w:pPr>
        <w:pStyle w:val="Paragraphedeliste"/>
        <w:numPr>
          <w:ilvl w:val="0"/>
          <w:numId w:val="8"/>
        </w:numPr>
        <w:spacing w:before="240"/>
        <w:ind w:left="284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C7E2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Prix des produits alimentaires : Attente d’une hausse moins prononcée</w:t>
      </w:r>
    </w:p>
    <w:p w:rsidR="002D64F5" w:rsidRDefault="00CE443B" w:rsidP="00570843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</w:t>
      </w:r>
      <w:r w:rsidR="00D55501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premier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D55501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trimestre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0736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de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F0885">
        <w:rPr>
          <w:rFonts w:asciiTheme="majorBidi" w:hAnsiTheme="majorBidi" w:cstheme="majorBidi"/>
          <w:color w:val="000000" w:themeColor="text1"/>
          <w:sz w:val="26"/>
          <w:szCs w:val="26"/>
        </w:rPr>
        <w:t>2024</w:t>
      </w:r>
      <w:r w:rsidR="00985AB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570843" w:rsidRPr="0057084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70843" w:rsidRPr="00B6667D">
        <w:rPr>
          <w:rFonts w:asciiTheme="majorBidi" w:hAnsiTheme="majorBidi" w:cstheme="majorBidi"/>
          <w:color w:val="000000" w:themeColor="text1"/>
          <w:sz w:val="26"/>
          <w:szCs w:val="26"/>
        </w:rPr>
        <w:t>96,9</w:t>
      </w:r>
      <w:r w:rsidR="00570843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E04B1F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des ménages </w:t>
      </w:r>
      <w:r w:rsidR="005F72D8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déclarent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644C5" w:rsidRPr="007D5525">
        <w:rPr>
          <w:rFonts w:asciiTheme="majorBidi" w:hAnsiTheme="majorBidi" w:cstheme="majorBidi"/>
          <w:color w:val="000000" w:themeColor="text1"/>
          <w:sz w:val="26"/>
          <w:szCs w:val="26"/>
        </w:rPr>
        <w:t>que les prix des produits</w:t>
      </w:r>
      <w:r w:rsidR="00A644C5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alimentaires ont augmenté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A013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cours des </w:t>
      </w:r>
      <w:r w:rsidR="00E009EE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12 derniers mois</w:t>
      </w:r>
      <w:r w:rsidR="00D77F2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.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Le solde d’opinion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est </w:t>
      </w:r>
      <w:r w:rsidR="00807B58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ainsi </w:t>
      </w:r>
      <w:r w:rsidR="004153FC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resté 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négatif,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à moins </w:t>
      </w:r>
      <w:r w:rsidR="00CE42FB" w:rsidRPr="00CE42FB">
        <w:rPr>
          <w:rFonts w:asciiTheme="majorBidi" w:hAnsiTheme="majorBidi" w:cstheme="majorBidi"/>
          <w:color w:val="000000" w:themeColor="text1"/>
          <w:sz w:val="26"/>
          <w:szCs w:val="26"/>
        </w:rPr>
        <w:t>96,5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contre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CE42FB" w:rsidRPr="00CE42FB">
        <w:rPr>
          <w:rFonts w:asciiTheme="majorBidi" w:hAnsiTheme="majorBidi" w:cstheme="majorBidi"/>
          <w:color w:val="000000" w:themeColor="text1"/>
          <w:sz w:val="26"/>
          <w:szCs w:val="26"/>
        </w:rPr>
        <w:t>97,4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points </w:t>
      </w:r>
      <w:r w:rsidR="008A49D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un trimestre auparavant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et </w:t>
      </w:r>
      <w:r w:rsidR="00146ED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8B21F1" w:rsidRPr="00951CA9">
        <w:rPr>
          <w:rFonts w:asciiTheme="majorBidi" w:hAnsiTheme="majorBidi" w:cstheme="majorBidi"/>
          <w:color w:val="000000" w:themeColor="text1"/>
          <w:sz w:val="26"/>
          <w:szCs w:val="26"/>
        </w:rPr>
        <w:t>98,7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points une année auparavant.</w:t>
      </w:r>
    </w:p>
    <w:p w:rsidR="00570843" w:rsidRDefault="00570843" w:rsidP="00570843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E74ABD" w:rsidRDefault="004153FC" w:rsidP="00EC11F9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Au cours des 12 prochains mois, </w:t>
      </w:r>
      <w:r w:rsidR="00B633E3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l</w:t>
      </w: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 prix </w:t>
      </w:r>
      <w:r w:rsidR="00B633E3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des produits alimentaires </w:t>
      </w: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devraient continuer à augmenter selon </w:t>
      </w:r>
      <w:r w:rsidR="00B6667D" w:rsidRPr="00B6667D">
        <w:rPr>
          <w:rFonts w:asciiTheme="majorBidi" w:hAnsiTheme="majorBidi" w:cstheme="majorBidi"/>
          <w:color w:val="000000" w:themeColor="text1"/>
          <w:sz w:val="26"/>
          <w:szCs w:val="26"/>
        </w:rPr>
        <w:t>76,3</w:t>
      </w:r>
      <w:r w:rsidR="00F77135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A7E5D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des ménages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0A6135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contre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6667D" w:rsidRPr="00B6667D">
        <w:rPr>
          <w:rFonts w:asciiTheme="majorBidi" w:hAnsiTheme="majorBidi" w:cstheme="majorBidi"/>
          <w:color w:val="000000" w:themeColor="text1"/>
          <w:sz w:val="26"/>
          <w:szCs w:val="26"/>
        </w:rPr>
        <w:t>6,2</w:t>
      </w:r>
      <w:r w:rsidR="006E2B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%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0A6135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seulement qui </w:t>
      </w:r>
      <w:r w:rsidR="006E2B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s’attendent à leur baisse. 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L</w:t>
      </w:r>
      <w:r w:rsidR="00376AC0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 </w:t>
      </w:r>
      <w:r w:rsidR="00EA013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solde d’opinion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A15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est </w:t>
      </w:r>
      <w:r w:rsidR="00807B58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ainsi </w:t>
      </w:r>
      <w:r w:rsidR="002A15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resté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2A15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négatif, </w:t>
      </w:r>
      <w:r w:rsidR="00580F2D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se situant </w:t>
      </w:r>
      <w:r w:rsidR="002A152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à</w:t>
      </w:r>
      <w:r w:rsidR="00EA79FB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moins </w:t>
      </w:r>
      <w:r w:rsidR="00CE42FB" w:rsidRPr="006D7C60">
        <w:rPr>
          <w:rFonts w:asciiTheme="majorBidi" w:hAnsiTheme="majorBidi" w:cstheme="majorBidi"/>
          <w:color w:val="000000" w:themeColor="text1"/>
          <w:sz w:val="26"/>
          <w:szCs w:val="26"/>
        </w:rPr>
        <w:t>70,1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11BC9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points</w:t>
      </w:r>
      <w:r w:rsidR="00E7562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contre 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moins </w:t>
      </w:r>
      <w:r w:rsidR="00CE42FB" w:rsidRPr="006D7C60">
        <w:rPr>
          <w:rFonts w:asciiTheme="majorBidi" w:hAnsiTheme="majorBidi" w:cstheme="majorBidi"/>
          <w:color w:val="000000" w:themeColor="text1"/>
          <w:sz w:val="26"/>
          <w:szCs w:val="26"/>
        </w:rPr>
        <w:t>77,6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540BE7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points enregistré</w:t>
      </w:r>
      <w:r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790A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un trimestre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FA52FF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auparavant</w:t>
      </w:r>
      <w:r w:rsidR="00CB5DC1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et moins </w:t>
      </w:r>
      <w:r w:rsidR="008B21F1" w:rsidRPr="00951CA9">
        <w:rPr>
          <w:rFonts w:asciiTheme="majorBidi" w:hAnsiTheme="majorBidi" w:cstheme="majorBidi"/>
          <w:color w:val="000000" w:themeColor="text1"/>
          <w:sz w:val="26"/>
          <w:szCs w:val="26"/>
        </w:rPr>
        <w:t>69,8</w:t>
      </w:r>
      <w:r w:rsidR="0047153E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B5DC1" w:rsidRPr="008A49DB">
        <w:rPr>
          <w:rFonts w:asciiTheme="majorBidi" w:hAnsiTheme="majorBidi" w:cstheme="majorBidi"/>
          <w:color w:val="000000" w:themeColor="text1"/>
          <w:sz w:val="26"/>
          <w:szCs w:val="26"/>
        </w:rPr>
        <w:t>points une année</w:t>
      </w:r>
      <w:r w:rsidR="00E7562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auparavant. </w:t>
      </w:r>
    </w:p>
    <w:p w:rsidR="00EC11F9" w:rsidRDefault="00EC11F9" w:rsidP="00EC11F9">
      <w:pPr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AD69ED" w:rsidRPr="00F63CD9" w:rsidRDefault="001A7EA2" w:rsidP="00B15702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F63CD9">
        <w:rPr>
          <w:rFonts w:asciiTheme="majorBidi" w:hAnsiTheme="majorBidi" w:cstheme="majorBidi"/>
          <w:b/>
          <w:bCs/>
          <w:color w:val="000000" w:themeColor="text1"/>
        </w:rPr>
        <w:t>Graphique 6 :</w:t>
      </w:r>
      <w:r w:rsidR="00E74ABD" w:rsidRPr="00F63CD9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4856B0" w:rsidRPr="00F63CD9">
        <w:rPr>
          <w:rFonts w:asciiTheme="majorBidi" w:hAnsiTheme="majorBidi" w:cstheme="majorBidi"/>
          <w:b/>
          <w:bCs/>
          <w:color w:val="000000" w:themeColor="text1"/>
        </w:rPr>
        <w:t>E</w:t>
      </w:r>
      <w:r w:rsidR="00E74ABD" w:rsidRPr="00F63CD9">
        <w:rPr>
          <w:rFonts w:asciiTheme="majorBidi" w:hAnsiTheme="majorBidi" w:cstheme="majorBidi"/>
          <w:b/>
          <w:bCs/>
          <w:color w:val="000000" w:themeColor="text1"/>
        </w:rPr>
        <w:t>volution des prix des produits alimentaires</w:t>
      </w:r>
      <w:r w:rsidR="004856B0" w:rsidRPr="00F63CD9">
        <w:rPr>
          <w:rFonts w:asciiTheme="majorBidi" w:hAnsiTheme="majorBidi" w:cstheme="majorBidi"/>
          <w:b/>
          <w:bCs/>
          <w:color w:val="000000" w:themeColor="text1"/>
        </w:rPr>
        <w:t xml:space="preserve"> selon les perceptions des ménages</w:t>
      </w:r>
      <w:r w:rsidR="00E74ABD" w:rsidRPr="00F63CD9">
        <w:rPr>
          <w:rFonts w:asciiTheme="majorBidi" w:hAnsiTheme="majorBidi" w:cstheme="majorBidi"/>
          <w:b/>
          <w:bCs/>
          <w:color w:val="000000" w:themeColor="text1"/>
        </w:rPr>
        <w:t xml:space="preserve"> (soldes d'opinions) </w:t>
      </w:r>
    </w:p>
    <w:p w:rsidR="00980990" w:rsidRDefault="00AD69ED" w:rsidP="008B3B4F">
      <w:pPr>
        <w:spacing w:before="240"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>
            <wp:extent cx="6434913" cy="3296094"/>
            <wp:effectExtent l="19050" t="0" r="23037" b="0"/>
            <wp:docPr id="12" name="Graphique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7898" w:rsidRPr="00912930" w:rsidRDefault="003E7898" w:rsidP="00912930">
      <w:pPr>
        <w:widowControl/>
        <w:autoSpaceDE/>
        <w:autoSpaceDN/>
        <w:adjustRightInd/>
        <w:spacing w:before="100" w:after="240"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91293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p w:rsidR="00EC11F9" w:rsidRDefault="00EC11F9" w:rsidP="00BA7EA7">
      <w:pPr>
        <w:spacing w:line="276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3A0725" w:rsidRPr="00BA7EA7" w:rsidRDefault="00C72318" w:rsidP="00BA7EA7">
      <w:pPr>
        <w:spacing w:line="276" w:lineRule="auto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lastRenderedPageBreak/>
        <w:t>Ci-</w:t>
      </w:r>
      <w:r w:rsidR="00570843" w:rsidRPr="00BA7EA7">
        <w:rPr>
          <w:rFonts w:asciiTheme="majorBidi" w:hAnsiTheme="majorBidi" w:cstheme="majorBidi"/>
          <w:color w:val="000000" w:themeColor="text1"/>
          <w:sz w:val="26"/>
          <w:szCs w:val="26"/>
        </w:rPr>
        <w:t>joint les</w:t>
      </w:r>
      <w:r w:rsidRPr="00BA7EA7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détails des différents indicateurs et un rappel des principaux concepts.</w:t>
      </w:r>
    </w:p>
    <w:tbl>
      <w:tblPr>
        <w:tblpPr w:leftFromText="141" w:rightFromText="141" w:vertAnchor="text" w:horzAnchor="margin" w:tblpY="289"/>
        <w:tblW w:w="9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0"/>
      </w:tblGrid>
      <w:tr w:rsidR="003A0725" w:rsidRPr="00BA7EA7" w:rsidTr="00287AFB">
        <w:trPr>
          <w:trHeight w:val="8046"/>
        </w:trPr>
        <w:tc>
          <w:tcPr>
            <w:tcW w:w="9910" w:type="dxa"/>
          </w:tcPr>
          <w:p w:rsidR="000013E4" w:rsidRPr="00BA7EA7" w:rsidRDefault="000013E4" w:rsidP="00BA7EA7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  <w:p w:rsidR="00C51B7C" w:rsidRPr="00BA7EA7" w:rsidRDefault="00C51B7C" w:rsidP="00BA7EA7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Les évolutions des composantes de l’ICM et des autres indicateurs de l’enquête, illustrées dans les graphiques, sont exprimées en termes de soldes d'opinions</w:t>
            </w:r>
          </w:p>
          <w:p w:rsidR="000013E4" w:rsidRPr="00BA7EA7" w:rsidRDefault="000013E4" w:rsidP="00BA7EA7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</w:p>
          <w:p w:rsidR="003A0725" w:rsidRPr="00BA7EA7" w:rsidRDefault="003A0725" w:rsidP="00BA7EA7">
            <w:pPr>
              <w:spacing w:line="276" w:lineRule="auto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br w:type="page"/>
              <w:t xml:space="preserve"> Rappelons</w:t>
            </w:r>
            <w:r w:rsidR="00C51B7C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, par ailleurs</w:t>
            </w:r>
            <w:r w:rsidR="00570843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, que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 :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les questions abordées sont qualitatives à 3 modalités (amélioratio</w:t>
            </w:r>
            <w:r w:rsidR="00D72CF7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n, stagnation et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détérioration). </w:t>
            </w:r>
            <w:r w:rsidR="00570843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Les évolutions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se réfèrent à une période de 12 mois. Les résultats sont présentés sous </w:t>
            </w:r>
            <w:r w:rsidR="00570843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forme de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soldes (différence entre les pourcentages des réponses « amélioration » </w:t>
            </w:r>
            <w:r w:rsidR="00570843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et des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réponses «détérioration»). Le niveau des soldes n’est pas directement interprétable, c’est leur évolution qui est analysée. 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L’Indice de Confiance des Ménages (ICM) est calculé sur la base de sept indicateurs, quatre relatifs à la situation générale et trois à la situation propre du ménage :</w:t>
            </w:r>
          </w:p>
          <w:p w:rsidR="003A0725" w:rsidRPr="00BA7EA7" w:rsidRDefault="00570843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évolution passée</w:t>
            </w:r>
            <w:r w:rsidR="003A0725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du niveau de vie ;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perspective d'évolution du niveau de vie ;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perspective d'évolution du nombre de chômeurs ;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opportunité d'achat de biens </w:t>
            </w:r>
            <w:r w:rsidR="00570843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durables ;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situation financière actuelle des ménages ;</w:t>
            </w:r>
          </w:p>
          <w:p w:rsidR="003A0725" w:rsidRPr="00BA7EA7" w:rsidRDefault="00570843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évolution passée</w:t>
            </w:r>
            <w:r w:rsidR="003A0725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de la situation financière des ménages ;</w:t>
            </w:r>
          </w:p>
          <w:p w:rsidR="003A0725" w:rsidRPr="00BA7EA7" w:rsidRDefault="00570843" w:rsidP="00BA7EA7">
            <w:pPr>
              <w:pStyle w:val="Paragraphedeliste"/>
              <w:numPr>
                <w:ilvl w:val="0"/>
                <w:numId w:val="3"/>
              </w:numPr>
              <w:spacing w:after="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évolution future</w:t>
            </w:r>
            <w:r w:rsidR="003A0725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de la situation financière des ménages.</w:t>
            </w:r>
          </w:p>
          <w:p w:rsidR="003A0725" w:rsidRPr="00BA7EA7" w:rsidRDefault="003A0725" w:rsidP="00BA7EA7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L’ICM est </w:t>
            </w:r>
            <w:r w:rsidR="00570843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la moyenne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arithmétique simple </w:t>
            </w:r>
            <w:r w:rsidR="00570843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des soldes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des 7 indicateurs, augmentée de 100, sa valeur varie ainsi de 0 à 200.</w:t>
            </w:r>
          </w:p>
          <w:p w:rsidR="003A0725" w:rsidRPr="00BA7EA7" w:rsidRDefault="003A0725" w:rsidP="00BC7C3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Des tests statistiques de Fisher sur la série de l’indice de confiance des ménages</w:t>
            </w:r>
            <w:r w:rsidR="00B67B3D"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durant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la période allant de 2008 à </w:t>
            </w:r>
            <w:r w:rsidR="00BC7C39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2019</w:t>
            </w: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>, ont confirmé l’absence des variations saisonnières stables et mobiles.</w:t>
            </w:r>
          </w:p>
          <w:p w:rsidR="003A0725" w:rsidRPr="00BA7EA7" w:rsidRDefault="003A0725" w:rsidP="00BA7EA7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Pour plus d’informations sur les aspects méthodologiques de cette enquête, consulter le site web du HCP </w:t>
            </w:r>
            <w:proofErr w:type="gramStart"/>
            <w:r w:rsidRPr="00BA7EA7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au  </w:t>
            </w:r>
            <w:proofErr w:type="gramEnd"/>
            <w:hyperlink r:id="rId14" w:history="1">
              <w:r w:rsidRPr="00BA7EA7">
                <w:rPr>
                  <w:rStyle w:val="Lienhypertexte"/>
                  <w:rFonts w:asciiTheme="majorBidi" w:hAnsiTheme="majorBidi" w:cstheme="majorBidi"/>
                  <w:color w:val="000000" w:themeColor="text1"/>
                  <w:sz w:val="26"/>
                  <w:szCs w:val="26"/>
                </w:rPr>
                <w:t>www.hcp.ma</w:t>
              </w:r>
            </w:hyperlink>
          </w:p>
        </w:tc>
      </w:tr>
    </w:tbl>
    <w:p w:rsidR="001F5970" w:rsidRPr="00BA7EA7" w:rsidRDefault="001F5970" w:rsidP="00BA7EA7">
      <w:pPr>
        <w:spacing w:line="276" w:lineRule="auto"/>
        <w:rPr>
          <w:rFonts w:asciiTheme="majorBidi" w:hAnsiTheme="majorBidi" w:cstheme="majorBidi"/>
          <w:sz w:val="26"/>
          <w:szCs w:val="26"/>
        </w:rPr>
      </w:pPr>
    </w:p>
    <w:p w:rsidR="001F5970" w:rsidRPr="00BA7EA7" w:rsidRDefault="001F5970" w:rsidP="00BA7EA7">
      <w:pPr>
        <w:spacing w:line="276" w:lineRule="auto"/>
        <w:ind w:left="-142"/>
        <w:rPr>
          <w:rFonts w:asciiTheme="majorBidi" w:hAnsiTheme="majorBidi" w:cstheme="majorBidi"/>
          <w:b/>
          <w:color w:val="000000" w:themeColor="text1"/>
          <w:sz w:val="26"/>
          <w:szCs w:val="26"/>
        </w:rPr>
        <w:sectPr w:rsidR="001F5970" w:rsidRPr="00BA7EA7" w:rsidSect="005B1014">
          <w:footerReference w:type="default" r:id="rId15"/>
          <w:pgSz w:w="11906" w:h="16838" w:code="9"/>
          <w:pgMar w:top="1134" w:right="720" w:bottom="720" w:left="1077" w:header="709" w:footer="709" w:gutter="0"/>
          <w:cols w:space="708"/>
          <w:docGrid w:linePitch="360"/>
        </w:sectPr>
      </w:pPr>
    </w:p>
    <w:p w:rsidR="004A69BD" w:rsidRDefault="00F80338" w:rsidP="00F1342A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Evolution</w:t>
      </w:r>
      <w:r w:rsidR="005D5B33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de l’I</w:t>
      </w:r>
      <w:r w:rsidR="00C35BF2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ndice de </w:t>
      </w:r>
      <w:r w:rsidR="005D5B33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</w:t>
      </w:r>
      <w:r w:rsidR="00C35BF2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onfiance des </w:t>
      </w:r>
      <w:r w:rsidR="005D5B33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</w:t>
      </w:r>
      <w:r w:rsidR="00C35BF2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énages (ICM) </w:t>
      </w:r>
      <w:r w:rsidR="005D5B33" w:rsidRPr="007450B8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et de ses composantes</w:t>
      </w:r>
    </w:p>
    <w:p w:rsidR="00E41801" w:rsidRDefault="00E41801" w:rsidP="00F1342A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tbl>
      <w:tblPr>
        <w:tblW w:w="1618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9"/>
      </w:tblGrid>
      <w:tr w:rsidR="001E203A" w:rsidRPr="00BD5EF7" w:rsidTr="001E203A">
        <w:trPr>
          <w:trHeight w:val="456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T1/18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T2/18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T3/18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T4/18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T1/19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T2/19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T3/19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T4/19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T1/20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T2/20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T3/20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T4/20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T1/21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T2/21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T3/21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T4/21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T1/22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T2/22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T3/22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T4/22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T1/23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T2/23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T3/23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T4/23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T1/24</w:t>
            </w:r>
          </w:p>
        </w:tc>
      </w:tr>
      <w:tr w:rsidR="001E203A" w:rsidRPr="00BD5EF7" w:rsidTr="001E203A">
        <w:trPr>
          <w:trHeight w:val="50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Indice de Confiance des Ménages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82,5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79,8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79,1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75,7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33475B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33475B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628B3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45,3</w:t>
            </w:r>
          </w:p>
        </w:tc>
      </w:tr>
      <w:tr w:rsidR="001E203A" w:rsidRPr="00BD5EF7" w:rsidTr="001E203A">
        <w:trPr>
          <w:trHeight w:val="75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Perspective d'évolution du nombre de chômeur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-76,9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-81,1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-81,4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-80,4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-81,9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-80,3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-77,5</w:t>
            </w:r>
          </w:p>
        </w:tc>
      </w:tr>
      <w:tr w:rsidR="001E203A" w:rsidRPr="00BD5EF7" w:rsidTr="001E203A">
        <w:trPr>
          <w:trHeight w:val="50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Evolution passée du niveau de vie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-19,8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-35,6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-46,6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-55,2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-81,5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-84,6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-81,5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-78,1</w:t>
            </w:r>
          </w:p>
        </w:tc>
      </w:tr>
      <w:tr w:rsidR="001E203A" w:rsidRPr="00BD5EF7" w:rsidTr="001E203A">
        <w:trPr>
          <w:trHeight w:val="75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Perspective d'évolution du niveau de vie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-17,4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-38,8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-43,7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-49,0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-47,3</w:t>
            </w:r>
          </w:p>
        </w:tc>
      </w:tr>
      <w:tr w:rsidR="001E203A" w:rsidRPr="00BD5EF7" w:rsidTr="001E203A">
        <w:trPr>
          <w:trHeight w:val="456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Opportunité d'achat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-37,7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-32,6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-61,6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-68,9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-72,9</w:t>
            </w:r>
          </w:p>
        </w:tc>
      </w:tr>
      <w:tr w:rsidR="001E203A" w:rsidRPr="00BD5EF7" w:rsidTr="001E203A">
        <w:trPr>
          <w:trHeight w:val="50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Situation financière actuelle des ménages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-25,2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-28,9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-31,5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-29,1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-38,0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-36,4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-43,4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-42,9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-42,1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-42,0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-41,4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7084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-40,</w:t>
            </w:r>
            <w:r w:rsidR="0057084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</w:tr>
      <w:tr w:rsidR="001E203A" w:rsidRPr="00BD5EF7" w:rsidTr="001E203A">
        <w:trPr>
          <w:trHeight w:val="100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Evolution passée de la situation financière des ménages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-15,2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-18,2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-20,7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-21,2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-24,2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-26,0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-22,9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-27,0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-34,0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-39,9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-48,0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-49,0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-50,9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-48,7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-47,7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-53,0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-57,3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-53,3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-56,1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-52,7</w:t>
            </w:r>
          </w:p>
        </w:tc>
      </w:tr>
      <w:tr w:rsidR="001E203A" w:rsidRPr="00BD5EF7" w:rsidTr="001E203A">
        <w:trPr>
          <w:trHeight w:val="1005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Evolution future de la situation financière des ménages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-11,9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-0,1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-6,1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-4,6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-10,6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-13,4</w:t>
            </w:r>
          </w:p>
        </w:tc>
      </w:tr>
      <w:tr w:rsidR="00ED2747" w:rsidRPr="00BD5EF7" w:rsidTr="001E203A">
        <w:trPr>
          <w:trHeight w:val="456"/>
        </w:trPr>
        <w:tc>
          <w:tcPr>
            <w:tcW w:w="161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Autres soldes</w:t>
            </w:r>
          </w:p>
        </w:tc>
      </w:tr>
      <w:tr w:rsidR="001E203A" w:rsidRPr="00BD5EF7" w:rsidTr="001E203A">
        <w:trPr>
          <w:trHeight w:val="75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Evolution future des prix des produits alimentaires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-84,0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-87,5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-68,1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-76,3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-73,6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-71,8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-66,2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-70,1</w:t>
            </w:r>
          </w:p>
        </w:tc>
      </w:tr>
      <w:tr w:rsidR="001E203A" w:rsidRPr="00BD5EF7" w:rsidTr="001E203A">
        <w:trPr>
          <w:trHeight w:val="75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Evolution passée des prix des produits alimentaires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-90,3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-88,9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-83,7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-85,1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-82,8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-74,0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-86,9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-95,9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-97,9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-99,1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-99,1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-98,8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-98,7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-98,0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-97,9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-97,4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-96,5</w:t>
            </w:r>
          </w:p>
        </w:tc>
      </w:tr>
      <w:tr w:rsidR="001E203A" w:rsidRPr="00BD5EF7" w:rsidTr="001E203A">
        <w:trPr>
          <w:trHeight w:val="752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D274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Capacité à épargner des ménages dans les mois à venir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-54,5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-57,9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-63,0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-62,9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-66,6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-64,5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-75,1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-65,8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-60,8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-67,2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-70,4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-69,5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-72,2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-78,0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-77,7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-76,1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-79,4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-80,4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ED2747" w:rsidRDefault="00ED2747" w:rsidP="008A3C1A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D274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-80,7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2747" w:rsidRPr="005628B3" w:rsidRDefault="00ED2747" w:rsidP="005628B3">
            <w:pPr>
              <w:widowControl/>
              <w:autoSpaceDE/>
              <w:adjustRightInd/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628B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-81,4</w:t>
            </w:r>
          </w:p>
        </w:tc>
      </w:tr>
    </w:tbl>
    <w:p w:rsidR="001A7EA2" w:rsidRPr="00FA682D" w:rsidRDefault="00ED2747" w:rsidP="001E203A">
      <w:pPr>
        <w:widowControl/>
        <w:autoSpaceDE/>
        <w:autoSpaceDN/>
        <w:adjustRightInd/>
        <w:spacing w:before="100" w:after="240" w:line="276" w:lineRule="auto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912930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Source : HCP, Enquête permanente de conjoncture auprès des ménages</w:t>
      </w:r>
    </w:p>
    <w:sectPr w:rsidR="001A7EA2" w:rsidRPr="00FA682D" w:rsidSect="00A7149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1BC" w:rsidRDefault="00B601BC" w:rsidP="00460705">
      <w:r>
        <w:separator/>
      </w:r>
    </w:p>
  </w:endnote>
  <w:endnote w:type="continuationSeparator" w:id="0">
    <w:p w:rsidR="00B601BC" w:rsidRDefault="00B601BC" w:rsidP="0046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2132658"/>
      <w:docPartObj>
        <w:docPartGallery w:val="Page Numbers (Bottom of Page)"/>
        <w:docPartUnique/>
      </w:docPartObj>
    </w:sdtPr>
    <w:sdtEndPr/>
    <w:sdtContent>
      <w:p w:rsidR="004343BC" w:rsidRDefault="00F06D22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D0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343BC" w:rsidRDefault="004343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1BC" w:rsidRDefault="00B601BC" w:rsidP="00460705">
      <w:r>
        <w:separator/>
      </w:r>
    </w:p>
  </w:footnote>
  <w:footnote w:type="continuationSeparator" w:id="0">
    <w:p w:rsidR="00B601BC" w:rsidRDefault="00B601BC" w:rsidP="0046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A8E"/>
    <w:multiLevelType w:val="hybridMultilevel"/>
    <w:tmpl w:val="DEAAA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02827"/>
    <w:multiLevelType w:val="hybridMultilevel"/>
    <w:tmpl w:val="651C7EFE"/>
    <w:lvl w:ilvl="0" w:tplc="B100CA1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056781"/>
    <w:multiLevelType w:val="hybridMultilevel"/>
    <w:tmpl w:val="784EAA80"/>
    <w:lvl w:ilvl="0" w:tplc="6DD295CC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432E"/>
    <w:multiLevelType w:val="hybridMultilevel"/>
    <w:tmpl w:val="0CEE6D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A122E6"/>
    <w:multiLevelType w:val="hybridMultilevel"/>
    <w:tmpl w:val="826865B6"/>
    <w:lvl w:ilvl="0" w:tplc="0616EC8E">
      <w:numFmt w:val="bullet"/>
      <w:lvlText w:val="-"/>
      <w:lvlJc w:val="left"/>
      <w:pPr>
        <w:ind w:left="1080" w:hanging="360"/>
      </w:pPr>
      <w:rPr>
        <w:rFonts w:ascii="Book Antiqua" w:eastAsia="Calibri" w:hAnsi="Book Antiqua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932AC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032A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51664"/>
    <w:multiLevelType w:val="hybridMultilevel"/>
    <w:tmpl w:val="23060486"/>
    <w:lvl w:ilvl="0" w:tplc="20AE1A2A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CC54CD3"/>
    <w:multiLevelType w:val="hybridMultilevel"/>
    <w:tmpl w:val="0EF07944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C3212"/>
    <w:multiLevelType w:val="hybridMultilevel"/>
    <w:tmpl w:val="DAFCAAC4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45C66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8527B"/>
    <w:multiLevelType w:val="multilevel"/>
    <w:tmpl w:val="61509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3E6100A"/>
    <w:multiLevelType w:val="hybridMultilevel"/>
    <w:tmpl w:val="F000AF92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498D60E8"/>
    <w:multiLevelType w:val="hybridMultilevel"/>
    <w:tmpl w:val="E83A8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55FAE"/>
    <w:multiLevelType w:val="hybridMultilevel"/>
    <w:tmpl w:val="5A8C44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DB559E"/>
    <w:multiLevelType w:val="hybridMultilevel"/>
    <w:tmpl w:val="C61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D7E0F"/>
    <w:multiLevelType w:val="hybridMultilevel"/>
    <w:tmpl w:val="575CB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D297B"/>
    <w:multiLevelType w:val="hybridMultilevel"/>
    <w:tmpl w:val="054A5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57841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F3FE5"/>
    <w:multiLevelType w:val="hybridMultilevel"/>
    <w:tmpl w:val="D17298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7D01"/>
    <w:multiLevelType w:val="hybridMultilevel"/>
    <w:tmpl w:val="0E2043F8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1"/>
  </w:num>
  <w:num w:numId="6">
    <w:abstractNumId w:val="13"/>
  </w:num>
  <w:num w:numId="7">
    <w:abstractNumId w:val="0"/>
  </w:num>
  <w:num w:numId="8">
    <w:abstractNumId w:val="9"/>
  </w:num>
  <w:num w:numId="9">
    <w:abstractNumId w:val="18"/>
  </w:num>
  <w:num w:numId="10">
    <w:abstractNumId w:val="8"/>
  </w:num>
  <w:num w:numId="11">
    <w:abstractNumId w:val="20"/>
  </w:num>
  <w:num w:numId="12">
    <w:abstractNumId w:val="1"/>
  </w:num>
  <w:num w:numId="13">
    <w:abstractNumId w:val="19"/>
  </w:num>
  <w:num w:numId="14">
    <w:abstractNumId w:val="10"/>
  </w:num>
  <w:num w:numId="15">
    <w:abstractNumId w:val="6"/>
  </w:num>
  <w:num w:numId="16">
    <w:abstractNumId w:val="3"/>
  </w:num>
  <w:num w:numId="17">
    <w:abstractNumId w:val="17"/>
  </w:num>
  <w:num w:numId="18">
    <w:abstractNumId w:val="16"/>
  </w:num>
  <w:num w:numId="19">
    <w:abstractNumId w:val="7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04"/>
    <w:rsid w:val="000013E4"/>
    <w:rsid w:val="00001624"/>
    <w:rsid w:val="000016A1"/>
    <w:rsid w:val="000023E0"/>
    <w:rsid w:val="00002B11"/>
    <w:rsid w:val="00002F9B"/>
    <w:rsid w:val="00003F54"/>
    <w:rsid w:val="00004B1E"/>
    <w:rsid w:val="00005381"/>
    <w:rsid w:val="000060F8"/>
    <w:rsid w:val="000069AE"/>
    <w:rsid w:val="0000713A"/>
    <w:rsid w:val="00007426"/>
    <w:rsid w:val="000100F3"/>
    <w:rsid w:val="00011A0E"/>
    <w:rsid w:val="00011BC4"/>
    <w:rsid w:val="00011F4E"/>
    <w:rsid w:val="00012970"/>
    <w:rsid w:val="00012F82"/>
    <w:rsid w:val="00013016"/>
    <w:rsid w:val="00013329"/>
    <w:rsid w:val="00014530"/>
    <w:rsid w:val="00014940"/>
    <w:rsid w:val="00014F59"/>
    <w:rsid w:val="00015112"/>
    <w:rsid w:val="000151DD"/>
    <w:rsid w:val="00015EF3"/>
    <w:rsid w:val="00016F90"/>
    <w:rsid w:val="0001722E"/>
    <w:rsid w:val="000174FE"/>
    <w:rsid w:val="00017526"/>
    <w:rsid w:val="0001754D"/>
    <w:rsid w:val="000213FC"/>
    <w:rsid w:val="00022644"/>
    <w:rsid w:val="00023DE5"/>
    <w:rsid w:val="00024686"/>
    <w:rsid w:val="00024B04"/>
    <w:rsid w:val="0002532B"/>
    <w:rsid w:val="00025CE4"/>
    <w:rsid w:val="00025F15"/>
    <w:rsid w:val="000265CF"/>
    <w:rsid w:val="00027300"/>
    <w:rsid w:val="00027461"/>
    <w:rsid w:val="000274C4"/>
    <w:rsid w:val="000315FD"/>
    <w:rsid w:val="00031CFB"/>
    <w:rsid w:val="000324B4"/>
    <w:rsid w:val="00032619"/>
    <w:rsid w:val="00032AF9"/>
    <w:rsid w:val="00032B79"/>
    <w:rsid w:val="00032ECD"/>
    <w:rsid w:val="00034F42"/>
    <w:rsid w:val="00035053"/>
    <w:rsid w:val="00035393"/>
    <w:rsid w:val="000356C1"/>
    <w:rsid w:val="00035819"/>
    <w:rsid w:val="000360E1"/>
    <w:rsid w:val="000364EF"/>
    <w:rsid w:val="00036F7C"/>
    <w:rsid w:val="0003703D"/>
    <w:rsid w:val="000370B6"/>
    <w:rsid w:val="00037ABF"/>
    <w:rsid w:val="00041428"/>
    <w:rsid w:val="0004211E"/>
    <w:rsid w:val="00042157"/>
    <w:rsid w:val="00043430"/>
    <w:rsid w:val="00043B70"/>
    <w:rsid w:val="0004437F"/>
    <w:rsid w:val="00044E75"/>
    <w:rsid w:val="000451AC"/>
    <w:rsid w:val="00045674"/>
    <w:rsid w:val="00046C56"/>
    <w:rsid w:val="00046EB3"/>
    <w:rsid w:val="00047148"/>
    <w:rsid w:val="00047B2B"/>
    <w:rsid w:val="00050132"/>
    <w:rsid w:val="00050145"/>
    <w:rsid w:val="00050460"/>
    <w:rsid w:val="00051534"/>
    <w:rsid w:val="000518A6"/>
    <w:rsid w:val="00051A04"/>
    <w:rsid w:val="00051B80"/>
    <w:rsid w:val="00052C8E"/>
    <w:rsid w:val="0005319E"/>
    <w:rsid w:val="0005351F"/>
    <w:rsid w:val="0005355A"/>
    <w:rsid w:val="0005413E"/>
    <w:rsid w:val="00055B18"/>
    <w:rsid w:val="0005628D"/>
    <w:rsid w:val="000569E9"/>
    <w:rsid w:val="00056F4A"/>
    <w:rsid w:val="0005706F"/>
    <w:rsid w:val="00057262"/>
    <w:rsid w:val="00057BC7"/>
    <w:rsid w:val="00057E1A"/>
    <w:rsid w:val="00061CA4"/>
    <w:rsid w:val="00062779"/>
    <w:rsid w:val="00063B1B"/>
    <w:rsid w:val="00063B3F"/>
    <w:rsid w:val="00064021"/>
    <w:rsid w:val="00064039"/>
    <w:rsid w:val="000646B0"/>
    <w:rsid w:val="000656CB"/>
    <w:rsid w:val="00065DD7"/>
    <w:rsid w:val="00066ADF"/>
    <w:rsid w:val="00066E22"/>
    <w:rsid w:val="00067347"/>
    <w:rsid w:val="00067D35"/>
    <w:rsid w:val="00070565"/>
    <w:rsid w:val="000706EE"/>
    <w:rsid w:val="000712A9"/>
    <w:rsid w:val="000718BD"/>
    <w:rsid w:val="000720FD"/>
    <w:rsid w:val="00072708"/>
    <w:rsid w:val="00072AB7"/>
    <w:rsid w:val="00072CF2"/>
    <w:rsid w:val="00072EEA"/>
    <w:rsid w:val="00072F7C"/>
    <w:rsid w:val="00073079"/>
    <w:rsid w:val="00073C23"/>
    <w:rsid w:val="000748D8"/>
    <w:rsid w:val="000749D1"/>
    <w:rsid w:val="000753A8"/>
    <w:rsid w:val="000756A1"/>
    <w:rsid w:val="00075E65"/>
    <w:rsid w:val="00076938"/>
    <w:rsid w:val="00076F92"/>
    <w:rsid w:val="000779C2"/>
    <w:rsid w:val="00077CAA"/>
    <w:rsid w:val="00081434"/>
    <w:rsid w:val="00081E5A"/>
    <w:rsid w:val="0008224D"/>
    <w:rsid w:val="00082D2E"/>
    <w:rsid w:val="000836A6"/>
    <w:rsid w:val="000838BF"/>
    <w:rsid w:val="000839B9"/>
    <w:rsid w:val="0008574A"/>
    <w:rsid w:val="00086CD2"/>
    <w:rsid w:val="000877E9"/>
    <w:rsid w:val="0008783E"/>
    <w:rsid w:val="00087DA2"/>
    <w:rsid w:val="000909E5"/>
    <w:rsid w:val="00090FCF"/>
    <w:rsid w:val="00090FEC"/>
    <w:rsid w:val="00091D64"/>
    <w:rsid w:val="00091E28"/>
    <w:rsid w:val="00091FB9"/>
    <w:rsid w:val="00092DFB"/>
    <w:rsid w:val="00093A83"/>
    <w:rsid w:val="00093D84"/>
    <w:rsid w:val="00094BEF"/>
    <w:rsid w:val="00097300"/>
    <w:rsid w:val="00097799"/>
    <w:rsid w:val="0009797C"/>
    <w:rsid w:val="00097D75"/>
    <w:rsid w:val="000A0177"/>
    <w:rsid w:val="000A07A7"/>
    <w:rsid w:val="000A0881"/>
    <w:rsid w:val="000A11C5"/>
    <w:rsid w:val="000A14AD"/>
    <w:rsid w:val="000A158A"/>
    <w:rsid w:val="000A18FB"/>
    <w:rsid w:val="000A1DEA"/>
    <w:rsid w:val="000A20DC"/>
    <w:rsid w:val="000A26E7"/>
    <w:rsid w:val="000A27F7"/>
    <w:rsid w:val="000A2DA9"/>
    <w:rsid w:val="000A33DF"/>
    <w:rsid w:val="000A40C3"/>
    <w:rsid w:val="000A5682"/>
    <w:rsid w:val="000A5C5F"/>
    <w:rsid w:val="000A5F4A"/>
    <w:rsid w:val="000A6135"/>
    <w:rsid w:val="000A62F9"/>
    <w:rsid w:val="000A7E83"/>
    <w:rsid w:val="000B0844"/>
    <w:rsid w:val="000B09BA"/>
    <w:rsid w:val="000B0E7A"/>
    <w:rsid w:val="000B1487"/>
    <w:rsid w:val="000B16D1"/>
    <w:rsid w:val="000B2067"/>
    <w:rsid w:val="000B2FFE"/>
    <w:rsid w:val="000B34E3"/>
    <w:rsid w:val="000B4FE0"/>
    <w:rsid w:val="000B552C"/>
    <w:rsid w:val="000B62B1"/>
    <w:rsid w:val="000C0C01"/>
    <w:rsid w:val="000C1464"/>
    <w:rsid w:val="000C2CA9"/>
    <w:rsid w:val="000C3718"/>
    <w:rsid w:val="000C39F9"/>
    <w:rsid w:val="000C439F"/>
    <w:rsid w:val="000C4C0E"/>
    <w:rsid w:val="000C56EA"/>
    <w:rsid w:val="000C689C"/>
    <w:rsid w:val="000C7F17"/>
    <w:rsid w:val="000D1CF5"/>
    <w:rsid w:val="000D24FA"/>
    <w:rsid w:val="000D2586"/>
    <w:rsid w:val="000D2E52"/>
    <w:rsid w:val="000D341B"/>
    <w:rsid w:val="000D367A"/>
    <w:rsid w:val="000D3B30"/>
    <w:rsid w:val="000D4077"/>
    <w:rsid w:val="000D4920"/>
    <w:rsid w:val="000D54E1"/>
    <w:rsid w:val="000D5638"/>
    <w:rsid w:val="000D5AB2"/>
    <w:rsid w:val="000D5B0A"/>
    <w:rsid w:val="000D5CEB"/>
    <w:rsid w:val="000D7B49"/>
    <w:rsid w:val="000E0128"/>
    <w:rsid w:val="000E030A"/>
    <w:rsid w:val="000E10E0"/>
    <w:rsid w:val="000E1534"/>
    <w:rsid w:val="000E17D9"/>
    <w:rsid w:val="000E1BEE"/>
    <w:rsid w:val="000E20BC"/>
    <w:rsid w:val="000E21A1"/>
    <w:rsid w:val="000E3747"/>
    <w:rsid w:val="000E4DC7"/>
    <w:rsid w:val="000E5EA9"/>
    <w:rsid w:val="000E613E"/>
    <w:rsid w:val="000E6EB3"/>
    <w:rsid w:val="000E71C8"/>
    <w:rsid w:val="000F0919"/>
    <w:rsid w:val="000F0DB1"/>
    <w:rsid w:val="000F184A"/>
    <w:rsid w:val="000F2945"/>
    <w:rsid w:val="000F2B60"/>
    <w:rsid w:val="000F2E6E"/>
    <w:rsid w:val="000F5A2E"/>
    <w:rsid w:val="000F62E1"/>
    <w:rsid w:val="000F641A"/>
    <w:rsid w:val="000F6CE8"/>
    <w:rsid w:val="000F70E8"/>
    <w:rsid w:val="000F74C5"/>
    <w:rsid w:val="000F7670"/>
    <w:rsid w:val="000F7A57"/>
    <w:rsid w:val="000F7C4F"/>
    <w:rsid w:val="00100026"/>
    <w:rsid w:val="0010025C"/>
    <w:rsid w:val="00101249"/>
    <w:rsid w:val="00101DA7"/>
    <w:rsid w:val="0010296B"/>
    <w:rsid w:val="00102B5C"/>
    <w:rsid w:val="001037B3"/>
    <w:rsid w:val="00104221"/>
    <w:rsid w:val="001042CE"/>
    <w:rsid w:val="00104438"/>
    <w:rsid w:val="00104463"/>
    <w:rsid w:val="00104CAC"/>
    <w:rsid w:val="00104D05"/>
    <w:rsid w:val="001052BE"/>
    <w:rsid w:val="001052EC"/>
    <w:rsid w:val="00105320"/>
    <w:rsid w:val="00105B72"/>
    <w:rsid w:val="00106C84"/>
    <w:rsid w:val="00106E19"/>
    <w:rsid w:val="00106EC0"/>
    <w:rsid w:val="00106FA4"/>
    <w:rsid w:val="00107245"/>
    <w:rsid w:val="00107534"/>
    <w:rsid w:val="00107E17"/>
    <w:rsid w:val="00107F1E"/>
    <w:rsid w:val="001103D0"/>
    <w:rsid w:val="00110B90"/>
    <w:rsid w:val="00110BE5"/>
    <w:rsid w:val="00111470"/>
    <w:rsid w:val="001116C8"/>
    <w:rsid w:val="00111FC4"/>
    <w:rsid w:val="00113273"/>
    <w:rsid w:val="001133D2"/>
    <w:rsid w:val="00113767"/>
    <w:rsid w:val="00114063"/>
    <w:rsid w:val="001143FE"/>
    <w:rsid w:val="0011495F"/>
    <w:rsid w:val="00115D48"/>
    <w:rsid w:val="001161C4"/>
    <w:rsid w:val="00116945"/>
    <w:rsid w:val="0011726A"/>
    <w:rsid w:val="001174FE"/>
    <w:rsid w:val="00117A2F"/>
    <w:rsid w:val="00117F82"/>
    <w:rsid w:val="00120997"/>
    <w:rsid w:val="00121180"/>
    <w:rsid w:val="00121CCC"/>
    <w:rsid w:val="001222E7"/>
    <w:rsid w:val="00122941"/>
    <w:rsid w:val="00123E79"/>
    <w:rsid w:val="00124002"/>
    <w:rsid w:val="001242C0"/>
    <w:rsid w:val="00124772"/>
    <w:rsid w:val="00124827"/>
    <w:rsid w:val="00124FE0"/>
    <w:rsid w:val="00125161"/>
    <w:rsid w:val="001254E5"/>
    <w:rsid w:val="00125543"/>
    <w:rsid w:val="00125C36"/>
    <w:rsid w:val="00126B26"/>
    <w:rsid w:val="00126CC0"/>
    <w:rsid w:val="00126E55"/>
    <w:rsid w:val="0012794C"/>
    <w:rsid w:val="00127D67"/>
    <w:rsid w:val="00131E2D"/>
    <w:rsid w:val="001328D0"/>
    <w:rsid w:val="00133286"/>
    <w:rsid w:val="0013347C"/>
    <w:rsid w:val="001335BA"/>
    <w:rsid w:val="00133687"/>
    <w:rsid w:val="00133860"/>
    <w:rsid w:val="0013463D"/>
    <w:rsid w:val="001347D2"/>
    <w:rsid w:val="00134AC5"/>
    <w:rsid w:val="00135445"/>
    <w:rsid w:val="00135D83"/>
    <w:rsid w:val="0013654E"/>
    <w:rsid w:val="00137D7D"/>
    <w:rsid w:val="001404A9"/>
    <w:rsid w:val="001414F3"/>
    <w:rsid w:val="001424D2"/>
    <w:rsid w:val="00142668"/>
    <w:rsid w:val="0014379B"/>
    <w:rsid w:val="001438AB"/>
    <w:rsid w:val="0014398F"/>
    <w:rsid w:val="00143A5A"/>
    <w:rsid w:val="00144320"/>
    <w:rsid w:val="00145956"/>
    <w:rsid w:val="001467F7"/>
    <w:rsid w:val="00146EDA"/>
    <w:rsid w:val="0014733D"/>
    <w:rsid w:val="00150681"/>
    <w:rsid w:val="00151AE6"/>
    <w:rsid w:val="00151C70"/>
    <w:rsid w:val="0015212E"/>
    <w:rsid w:val="001523D7"/>
    <w:rsid w:val="00152D59"/>
    <w:rsid w:val="00153ECF"/>
    <w:rsid w:val="00154298"/>
    <w:rsid w:val="00154339"/>
    <w:rsid w:val="001545AE"/>
    <w:rsid w:val="00154E44"/>
    <w:rsid w:val="00156587"/>
    <w:rsid w:val="0015763C"/>
    <w:rsid w:val="00157CA9"/>
    <w:rsid w:val="0016005A"/>
    <w:rsid w:val="00160141"/>
    <w:rsid w:val="00160994"/>
    <w:rsid w:val="00161429"/>
    <w:rsid w:val="00161772"/>
    <w:rsid w:val="00161C4B"/>
    <w:rsid w:val="00161D6D"/>
    <w:rsid w:val="00162062"/>
    <w:rsid w:val="00162816"/>
    <w:rsid w:val="001638CE"/>
    <w:rsid w:val="00163D93"/>
    <w:rsid w:val="0016405E"/>
    <w:rsid w:val="001643DF"/>
    <w:rsid w:val="00164881"/>
    <w:rsid w:val="001648E6"/>
    <w:rsid w:val="00164979"/>
    <w:rsid w:val="00165671"/>
    <w:rsid w:val="0016596E"/>
    <w:rsid w:val="001672BD"/>
    <w:rsid w:val="0016780D"/>
    <w:rsid w:val="00172005"/>
    <w:rsid w:val="00172D27"/>
    <w:rsid w:val="00172F47"/>
    <w:rsid w:val="00173781"/>
    <w:rsid w:val="00174115"/>
    <w:rsid w:val="00174542"/>
    <w:rsid w:val="00174553"/>
    <w:rsid w:val="001748E9"/>
    <w:rsid w:val="0017495A"/>
    <w:rsid w:val="0017568F"/>
    <w:rsid w:val="001757C5"/>
    <w:rsid w:val="001760CB"/>
    <w:rsid w:val="00181B02"/>
    <w:rsid w:val="00181B72"/>
    <w:rsid w:val="001829B0"/>
    <w:rsid w:val="00182E1E"/>
    <w:rsid w:val="00184023"/>
    <w:rsid w:val="00184134"/>
    <w:rsid w:val="00184250"/>
    <w:rsid w:val="00185207"/>
    <w:rsid w:val="00185ABC"/>
    <w:rsid w:val="001864E5"/>
    <w:rsid w:val="00186530"/>
    <w:rsid w:val="001871C4"/>
    <w:rsid w:val="00187A5C"/>
    <w:rsid w:val="00187EB7"/>
    <w:rsid w:val="00190672"/>
    <w:rsid w:val="00191E08"/>
    <w:rsid w:val="00191F62"/>
    <w:rsid w:val="001930B7"/>
    <w:rsid w:val="00193B35"/>
    <w:rsid w:val="00193B4D"/>
    <w:rsid w:val="00193E60"/>
    <w:rsid w:val="0019435A"/>
    <w:rsid w:val="0019492E"/>
    <w:rsid w:val="001956DC"/>
    <w:rsid w:val="00195D2E"/>
    <w:rsid w:val="001960E9"/>
    <w:rsid w:val="001968E2"/>
    <w:rsid w:val="00196B6B"/>
    <w:rsid w:val="00196D8E"/>
    <w:rsid w:val="00196DF3"/>
    <w:rsid w:val="001975D4"/>
    <w:rsid w:val="00197D9A"/>
    <w:rsid w:val="00197F64"/>
    <w:rsid w:val="001A0310"/>
    <w:rsid w:val="001A048A"/>
    <w:rsid w:val="001A0F65"/>
    <w:rsid w:val="001A2204"/>
    <w:rsid w:val="001A288D"/>
    <w:rsid w:val="001A292A"/>
    <w:rsid w:val="001A384F"/>
    <w:rsid w:val="001A4203"/>
    <w:rsid w:val="001A4A45"/>
    <w:rsid w:val="001A4BB7"/>
    <w:rsid w:val="001A55DD"/>
    <w:rsid w:val="001A6084"/>
    <w:rsid w:val="001A62A1"/>
    <w:rsid w:val="001A648B"/>
    <w:rsid w:val="001A69DD"/>
    <w:rsid w:val="001A6BB6"/>
    <w:rsid w:val="001A7746"/>
    <w:rsid w:val="001A7EA2"/>
    <w:rsid w:val="001B0121"/>
    <w:rsid w:val="001B03D3"/>
    <w:rsid w:val="001B06F9"/>
    <w:rsid w:val="001B0AB6"/>
    <w:rsid w:val="001B1130"/>
    <w:rsid w:val="001B1C9F"/>
    <w:rsid w:val="001B1E0E"/>
    <w:rsid w:val="001B20D5"/>
    <w:rsid w:val="001B2334"/>
    <w:rsid w:val="001B3593"/>
    <w:rsid w:val="001B35E9"/>
    <w:rsid w:val="001B3707"/>
    <w:rsid w:val="001B3CB2"/>
    <w:rsid w:val="001B50A1"/>
    <w:rsid w:val="001B561B"/>
    <w:rsid w:val="001B5B96"/>
    <w:rsid w:val="001B5F02"/>
    <w:rsid w:val="001B69A3"/>
    <w:rsid w:val="001B7322"/>
    <w:rsid w:val="001B765A"/>
    <w:rsid w:val="001B7854"/>
    <w:rsid w:val="001C0839"/>
    <w:rsid w:val="001C14A6"/>
    <w:rsid w:val="001C251F"/>
    <w:rsid w:val="001C4759"/>
    <w:rsid w:val="001C4D54"/>
    <w:rsid w:val="001C5656"/>
    <w:rsid w:val="001C5AA4"/>
    <w:rsid w:val="001C67D4"/>
    <w:rsid w:val="001C6846"/>
    <w:rsid w:val="001C6883"/>
    <w:rsid w:val="001D0008"/>
    <w:rsid w:val="001D02E1"/>
    <w:rsid w:val="001D0C73"/>
    <w:rsid w:val="001D17AC"/>
    <w:rsid w:val="001D2665"/>
    <w:rsid w:val="001D28DC"/>
    <w:rsid w:val="001D2B80"/>
    <w:rsid w:val="001D2D35"/>
    <w:rsid w:val="001D2E4E"/>
    <w:rsid w:val="001D3A1D"/>
    <w:rsid w:val="001D49E8"/>
    <w:rsid w:val="001D5548"/>
    <w:rsid w:val="001D55A9"/>
    <w:rsid w:val="001D58BD"/>
    <w:rsid w:val="001D684C"/>
    <w:rsid w:val="001D709D"/>
    <w:rsid w:val="001E0A9C"/>
    <w:rsid w:val="001E0D0B"/>
    <w:rsid w:val="001E1149"/>
    <w:rsid w:val="001E1901"/>
    <w:rsid w:val="001E203A"/>
    <w:rsid w:val="001E36D5"/>
    <w:rsid w:val="001E42CC"/>
    <w:rsid w:val="001E4F55"/>
    <w:rsid w:val="001E5372"/>
    <w:rsid w:val="001E5697"/>
    <w:rsid w:val="001E6198"/>
    <w:rsid w:val="001E78BD"/>
    <w:rsid w:val="001F00F0"/>
    <w:rsid w:val="001F04DE"/>
    <w:rsid w:val="001F062E"/>
    <w:rsid w:val="001F0ABF"/>
    <w:rsid w:val="001F14B0"/>
    <w:rsid w:val="001F20AF"/>
    <w:rsid w:val="001F2626"/>
    <w:rsid w:val="001F321B"/>
    <w:rsid w:val="001F3646"/>
    <w:rsid w:val="001F3E68"/>
    <w:rsid w:val="001F4A3E"/>
    <w:rsid w:val="001F4E50"/>
    <w:rsid w:val="001F4FE4"/>
    <w:rsid w:val="001F5722"/>
    <w:rsid w:val="001F5970"/>
    <w:rsid w:val="001F59E2"/>
    <w:rsid w:val="001F5D34"/>
    <w:rsid w:val="001F626D"/>
    <w:rsid w:val="001F66E3"/>
    <w:rsid w:val="001F6A20"/>
    <w:rsid w:val="001F6A9C"/>
    <w:rsid w:val="001F70B6"/>
    <w:rsid w:val="001F739C"/>
    <w:rsid w:val="001F7711"/>
    <w:rsid w:val="001F7D34"/>
    <w:rsid w:val="00200755"/>
    <w:rsid w:val="002021DE"/>
    <w:rsid w:val="002041E9"/>
    <w:rsid w:val="00204574"/>
    <w:rsid w:val="0020508E"/>
    <w:rsid w:val="00206A7F"/>
    <w:rsid w:val="0020711A"/>
    <w:rsid w:val="00207730"/>
    <w:rsid w:val="0021180E"/>
    <w:rsid w:val="0021213E"/>
    <w:rsid w:val="00212223"/>
    <w:rsid w:val="002125D5"/>
    <w:rsid w:val="00212714"/>
    <w:rsid w:val="00212E56"/>
    <w:rsid w:val="00213786"/>
    <w:rsid w:val="00213EC2"/>
    <w:rsid w:val="00214439"/>
    <w:rsid w:val="00214D50"/>
    <w:rsid w:val="002163AF"/>
    <w:rsid w:val="002164DC"/>
    <w:rsid w:val="002166B3"/>
    <w:rsid w:val="00216E7C"/>
    <w:rsid w:val="00217298"/>
    <w:rsid w:val="00217334"/>
    <w:rsid w:val="00221FC5"/>
    <w:rsid w:val="00222682"/>
    <w:rsid w:val="002226A1"/>
    <w:rsid w:val="00222815"/>
    <w:rsid w:val="00222831"/>
    <w:rsid w:val="00223178"/>
    <w:rsid w:val="0022318C"/>
    <w:rsid w:val="00223808"/>
    <w:rsid w:val="0022467F"/>
    <w:rsid w:val="00224DDD"/>
    <w:rsid w:val="00225685"/>
    <w:rsid w:val="00226A52"/>
    <w:rsid w:val="00226BE3"/>
    <w:rsid w:val="00226CEA"/>
    <w:rsid w:val="00227B1B"/>
    <w:rsid w:val="0023094A"/>
    <w:rsid w:val="00232556"/>
    <w:rsid w:val="00232AF5"/>
    <w:rsid w:val="00233531"/>
    <w:rsid w:val="00234907"/>
    <w:rsid w:val="00235C3E"/>
    <w:rsid w:val="002364B4"/>
    <w:rsid w:val="0023661B"/>
    <w:rsid w:val="00236927"/>
    <w:rsid w:val="002375C4"/>
    <w:rsid w:val="0024028E"/>
    <w:rsid w:val="00241A46"/>
    <w:rsid w:val="002431B9"/>
    <w:rsid w:val="002436BE"/>
    <w:rsid w:val="00243AE1"/>
    <w:rsid w:val="00245732"/>
    <w:rsid w:val="00245913"/>
    <w:rsid w:val="00245992"/>
    <w:rsid w:val="00246518"/>
    <w:rsid w:val="0024734D"/>
    <w:rsid w:val="002478EF"/>
    <w:rsid w:val="00247A3B"/>
    <w:rsid w:val="002502C2"/>
    <w:rsid w:val="00250C4C"/>
    <w:rsid w:val="00251ABE"/>
    <w:rsid w:val="0025208F"/>
    <w:rsid w:val="0025259C"/>
    <w:rsid w:val="00252BB9"/>
    <w:rsid w:val="0025312C"/>
    <w:rsid w:val="00253166"/>
    <w:rsid w:val="002534E9"/>
    <w:rsid w:val="00253D9F"/>
    <w:rsid w:val="00254965"/>
    <w:rsid w:val="00254CC9"/>
    <w:rsid w:val="00254D8A"/>
    <w:rsid w:val="00255396"/>
    <w:rsid w:val="00256232"/>
    <w:rsid w:val="00256A6D"/>
    <w:rsid w:val="00256C03"/>
    <w:rsid w:val="00256F31"/>
    <w:rsid w:val="00256FBC"/>
    <w:rsid w:val="00257385"/>
    <w:rsid w:val="00257871"/>
    <w:rsid w:val="00260173"/>
    <w:rsid w:val="00260D98"/>
    <w:rsid w:val="002613C1"/>
    <w:rsid w:val="002613F5"/>
    <w:rsid w:val="0026141F"/>
    <w:rsid w:val="00261ED7"/>
    <w:rsid w:val="002620C4"/>
    <w:rsid w:val="00262122"/>
    <w:rsid w:val="00262237"/>
    <w:rsid w:val="0026337D"/>
    <w:rsid w:val="002634E1"/>
    <w:rsid w:val="002636A0"/>
    <w:rsid w:val="00263D54"/>
    <w:rsid w:val="0026440A"/>
    <w:rsid w:val="00264457"/>
    <w:rsid w:val="002651D0"/>
    <w:rsid w:val="00265566"/>
    <w:rsid w:val="00265CFD"/>
    <w:rsid w:val="00265F28"/>
    <w:rsid w:val="00266110"/>
    <w:rsid w:val="00266330"/>
    <w:rsid w:val="00266633"/>
    <w:rsid w:val="002671FD"/>
    <w:rsid w:val="00267202"/>
    <w:rsid w:val="00267298"/>
    <w:rsid w:val="002672A0"/>
    <w:rsid w:val="0026748C"/>
    <w:rsid w:val="00267B6E"/>
    <w:rsid w:val="00267DAE"/>
    <w:rsid w:val="00270823"/>
    <w:rsid w:val="00270AD9"/>
    <w:rsid w:val="00270B31"/>
    <w:rsid w:val="00271743"/>
    <w:rsid w:val="00271D22"/>
    <w:rsid w:val="0027263B"/>
    <w:rsid w:val="00272727"/>
    <w:rsid w:val="00272D28"/>
    <w:rsid w:val="00274477"/>
    <w:rsid w:val="0027471B"/>
    <w:rsid w:val="002751C2"/>
    <w:rsid w:val="00275256"/>
    <w:rsid w:val="00276077"/>
    <w:rsid w:val="002775FC"/>
    <w:rsid w:val="00280072"/>
    <w:rsid w:val="0028098C"/>
    <w:rsid w:val="00281D6D"/>
    <w:rsid w:val="002821C5"/>
    <w:rsid w:val="0028239A"/>
    <w:rsid w:val="00282A92"/>
    <w:rsid w:val="002836F5"/>
    <w:rsid w:val="00283A6B"/>
    <w:rsid w:val="00283FD0"/>
    <w:rsid w:val="0028485A"/>
    <w:rsid w:val="0028651B"/>
    <w:rsid w:val="00287AFB"/>
    <w:rsid w:val="00287EC1"/>
    <w:rsid w:val="00290113"/>
    <w:rsid w:val="002904C7"/>
    <w:rsid w:val="002915B7"/>
    <w:rsid w:val="00291C4B"/>
    <w:rsid w:val="00292082"/>
    <w:rsid w:val="0029227A"/>
    <w:rsid w:val="00292381"/>
    <w:rsid w:val="00292CDC"/>
    <w:rsid w:val="00293863"/>
    <w:rsid w:val="002941A3"/>
    <w:rsid w:val="00295A6D"/>
    <w:rsid w:val="00295DF0"/>
    <w:rsid w:val="00296645"/>
    <w:rsid w:val="0029668B"/>
    <w:rsid w:val="00296E08"/>
    <w:rsid w:val="00297250"/>
    <w:rsid w:val="00297C0B"/>
    <w:rsid w:val="002A0DFB"/>
    <w:rsid w:val="002A0E3C"/>
    <w:rsid w:val="002A1005"/>
    <w:rsid w:val="002A1529"/>
    <w:rsid w:val="002A1584"/>
    <w:rsid w:val="002A18ED"/>
    <w:rsid w:val="002A1C56"/>
    <w:rsid w:val="002A1D28"/>
    <w:rsid w:val="002A1FD6"/>
    <w:rsid w:val="002A22AF"/>
    <w:rsid w:val="002A2777"/>
    <w:rsid w:val="002A29D2"/>
    <w:rsid w:val="002A2E36"/>
    <w:rsid w:val="002A321D"/>
    <w:rsid w:val="002A36CF"/>
    <w:rsid w:val="002A4737"/>
    <w:rsid w:val="002A53E5"/>
    <w:rsid w:val="002A5852"/>
    <w:rsid w:val="002A5928"/>
    <w:rsid w:val="002A5CD8"/>
    <w:rsid w:val="002A62C3"/>
    <w:rsid w:val="002A7486"/>
    <w:rsid w:val="002A766A"/>
    <w:rsid w:val="002A7C02"/>
    <w:rsid w:val="002A7C36"/>
    <w:rsid w:val="002A7E1E"/>
    <w:rsid w:val="002A7E5D"/>
    <w:rsid w:val="002B0B7B"/>
    <w:rsid w:val="002B10FB"/>
    <w:rsid w:val="002B15A7"/>
    <w:rsid w:val="002B15E6"/>
    <w:rsid w:val="002B2652"/>
    <w:rsid w:val="002B2EC5"/>
    <w:rsid w:val="002B3D5B"/>
    <w:rsid w:val="002B43BB"/>
    <w:rsid w:val="002B4B64"/>
    <w:rsid w:val="002B51C3"/>
    <w:rsid w:val="002B7130"/>
    <w:rsid w:val="002B74FD"/>
    <w:rsid w:val="002B7509"/>
    <w:rsid w:val="002B799E"/>
    <w:rsid w:val="002B79DC"/>
    <w:rsid w:val="002B7C12"/>
    <w:rsid w:val="002B7F41"/>
    <w:rsid w:val="002C03DA"/>
    <w:rsid w:val="002C0743"/>
    <w:rsid w:val="002C0BC4"/>
    <w:rsid w:val="002C0E6A"/>
    <w:rsid w:val="002C10D7"/>
    <w:rsid w:val="002C18A0"/>
    <w:rsid w:val="002C1D2E"/>
    <w:rsid w:val="002C211A"/>
    <w:rsid w:val="002C2298"/>
    <w:rsid w:val="002C26D4"/>
    <w:rsid w:val="002C2BED"/>
    <w:rsid w:val="002C3101"/>
    <w:rsid w:val="002C366D"/>
    <w:rsid w:val="002C5954"/>
    <w:rsid w:val="002C5F58"/>
    <w:rsid w:val="002C6A1C"/>
    <w:rsid w:val="002C768B"/>
    <w:rsid w:val="002C79A8"/>
    <w:rsid w:val="002C7EF2"/>
    <w:rsid w:val="002D112B"/>
    <w:rsid w:val="002D2100"/>
    <w:rsid w:val="002D260C"/>
    <w:rsid w:val="002D2970"/>
    <w:rsid w:val="002D3518"/>
    <w:rsid w:val="002D3C52"/>
    <w:rsid w:val="002D3E22"/>
    <w:rsid w:val="002D54C7"/>
    <w:rsid w:val="002D56C5"/>
    <w:rsid w:val="002D58D8"/>
    <w:rsid w:val="002D5AAA"/>
    <w:rsid w:val="002D5F99"/>
    <w:rsid w:val="002D64F5"/>
    <w:rsid w:val="002D6616"/>
    <w:rsid w:val="002D6FC3"/>
    <w:rsid w:val="002D79AA"/>
    <w:rsid w:val="002E02C4"/>
    <w:rsid w:val="002E0AD7"/>
    <w:rsid w:val="002E1871"/>
    <w:rsid w:val="002E238A"/>
    <w:rsid w:val="002E3AEC"/>
    <w:rsid w:val="002E3CF2"/>
    <w:rsid w:val="002E5787"/>
    <w:rsid w:val="002E5849"/>
    <w:rsid w:val="002E5ABF"/>
    <w:rsid w:val="002E5BEC"/>
    <w:rsid w:val="002E69E2"/>
    <w:rsid w:val="002E6F5B"/>
    <w:rsid w:val="002E6FFA"/>
    <w:rsid w:val="002E710F"/>
    <w:rsid w:val="002E7320"/>
    <w:rsid w:val="002E78A3"/>
    <w:rsid w:val="002F08CD"/>
    <w:rsid w:val="002F1287"/>
    <w:rsid w:val="002F142C"/>
    <w:rsid w:val="002F15A8"/>
    <w:rsid w:val="002F1D60"/>
    <w:rsid w:val="002F3EA6"/>
    <w:rsid w:val="002F566C"/>
    <w:rsid w:val="002F56E4"/>
    <w:rsid w:val="002F5CBB"/>
    <w:rsid w:val="002F5E45"/>
    <w:rsid w:val="002F5E6A"/>
    <w:rsid w:val="002F61B2"/>
    <w:rsid w:val="002F68CD"/>
    <w:rsid w:val="002F6AEC"/>
    <w:rsid w:val="002F7AAE"/>
    <w:rsid w:val="0030061A"/>
    <w:rsid w:val="00300726"/>
    <w:rsid w:val="00301913"/>
    <w:rsid w:val="0030196C"/>
    <w:rsid w:val="00301C04"/>
    <w:rsid w:val="00302717"/>
    <w:rsid w:val="0030378D"/>
    <w:rsid w:val="003043BE"/>
    <w:rsid w:val="00304900"/>
    <w:rsid w:val="00304BFF"/>
    <w:rsid w:val="00305983"/>
    <w:rsid w:val="00306F45"/>
    <w:rsid w:val="00307232"/>
    <w:rsid w:val="00307E20"/>
    <w:rsid w:val="00311292"/>
    <w:rsid w:val="0031260C"/>
    <w:rsid w:val="00312C75"/>
    <w:rsid w:val="00312DA6"/>
    <w:rsid w:val="00312EAF"/>
    <w:rsid w:val="00313590"/>
    <w:rsid w:val="00313C10"/>
    <w:rsid w:val="00313E26"/>
    <w:rsid w:val="00314363"/>
    <w:rsid w:val="00314E25"/>
    <w:rsid w:val="00315331"/>
    <w:rsid w:val="00315FDD"/>
    <w:rsid w:val="003203B5"/>
    <w:rsid w:val="00320A30"/>
    <w:rsid w:val="00321109"/>
    <w:rsid w:val="00322586"/>
    <w:rsid w:val="0032273E"/>
    <w:rsid w:val="0032393A"/>
    <w:rsid w:val="00323DD3"/>
    <w:rsid w:val="00324379"/>
    <w:rsid w:val="003243FF"/>
    <w:rsid w:val="0032457C"/>
    <w:rsid w:val="0032474D"/>
    <w:rsid w:val="003249B9"/>
    <w:rsid w:val="00325F2B"/>
    <w:rsid w:val="00326439"/>
    <w:rsid w:val="0032654E"/>
    <w:rsid w:val="00326669"/>
    <w:rsid w:val="003266B8"/>
    <w:rsid w:val="00326909"/>
    <w:rsid w:val="00326988"/>
    <w:rsid w:val="00326D4A"/>
    <w:rsid w:val="00326F79"/>
    <w:rsid w:val="00327D2D"/>
    <w:rsid w:val="0033159D"/>
    <w:rsid w:val="0033192D"/>
    <w:rsid w:val="00331A80"/>
    <w:rsid w:val="003325C2"/>
    <w:rsid w:val="00333CD8"/>
    <w:rsid w:val="0033475B"/>
    <w:rsid w:val="00335081"/>
    <w:rsid w:val="00335AA7"/>
    <w:rsid w:val="00337515"/>
    <w:rsid w:val="00337BE3"/>
    <w:rsid w:val="003407DA"/>
    <w:rsid w:val="00342196"/>
    <w:rsid w:val="003423DE"/>
    <w:rsid w:val="00342D0A"/>
    <w:rsid w:val="00343199"/>
    <w:rsid w:val="00344737"/>
    <w:rsid w:val="00345C8E"/>
    <w:rsid w:val="00345EE0"/>
    <w:rsid w:val="00346706"/>
    <w:rsid w:val="00346987"/>
    <w:rsid w:val="0035142B"/>
    <w:rsid w:val="003514ED"/>
    <w:rsid w:val="0035179E"/>
    <w:rsid w:val="00351C1F"/>
    <w:rsid w:val="00351E1C"/>
    <w:rsid w:val="00352106"/>
    <w:rsid w:val="0035217E"/>
    <w:rsid w:val="003525DA"/>
    <w:rsid w:val="00352758"/>
    <w:rsid w:val="00352D33"/>
    <w:rsid w:val="00353CB2"/>
    <w:rsid w:val="003541C4"/>
    <w:rsid w:val="00354A18"/>
    <w:rsid w:val="00354E92"/>
    <w:rsid w:val="003550EA"/>
    <w:rsid w:val="00355519"/>
    <w:rsid w:val="003559FA"/>
    <w:rsid w:val="00355D56"/>
    <w:rsid w:val="00357B74"/>
    <w:rsid w:val="00360176"/>
    <w:rsid w:val="00360556"/>
    <w:rsid w:val="00360720"/>
    <w:rsid w:val="0036132C"/>
    <w:rsid w:val="00362325"/>
    <w:rsid w:val="00362A0D"/>
    <w:rsid w:val="0036400D"/>
    <w:rsid w:val="003658EF"/>
    <w:rsid w:val="00365FDC"/>
    <w:rsid w:val="003661DE"/>
    <w:rsid w:val="003670AA"/>
    <w:rsid w:val="00367BF2"/>
    <w:rsid w:val="00370A60"/>
    <w:rsid w:val="00370B08"/>
    <w:rsid w:val="003713F9"/>
    <w:rsid w:val="00371621"/>
    <w:rsid w:val="003719C4"/>
    <w:rsid w:val="00371D19"/>
    <w:rsid w:val="003724EE"/>
    <w:rsid w:val="00373C93"/>
    <w:rsid w:val="00374E6D"/>
    <w:rsid w:val="00375898"/>
    <w:rsid w:val="0037636A"/>
    <w:rsid w:val="00376AC0"/>
    <w:rsid w:val="00377971"/>
    <w:rsid w:val="003803FA"/>
    <w:rsid w:val="00380461"/>
    <w:rsid w:val="003812CC"/>
    <w:rsid w:val="00381490"/>
    <w:rsid w:val="00381936"/>
    <w:rsid w:val="003827AF"/>
    <w:rsid w:val="00383179"/>
    <w:rsid w:val="00384704"/>
    <w:rsid w:val="0038490E"/>
    <w:rsid w:val="003849A2"/>
    <w:rsid w:val="00385E59"/>
    <w:rsid w:val="003863F6"/>
    <w:rsid w:val="00386E22"/>
    <w:rsid w:val="00387270"/>
    <w:rsid w:val="00390465"/>
    <w:rsid w:val="0039097A"/>
    <w:rsid w:val="00391350"/>
    <w:rsid w:val="003917E1"/>
    <w:rsid w:val="00393479"/>
    <w:rsid w:val="003937BF"/>
    <w:rsid w:val="003938B0"/>
    <w:rsid w:val="00394384"/>
    <w:rsid w:val="003945C0"/>
    <w:rsid w:val="00394F5D"/>
    <w:rsid w:val="00395232"/>
    <w:rsid w:val="003953F7"/>
    <w:rsid w:val="003960C1"/>
    <w:rsid w:val="003972B5"/>
    <w:rsid w:val="003A0725"/>
    <w:rsid w:val="003A0E00"/>
    <w:rsid w:val="003A1290"/>
    <w:rsid w:val="003A18CF"/>
    <w:rsid w:val="003A3105"/>
    <w:rsid w:val="003A32A5"/>
    <w:rsid w:val="003A35D3"/>
    <w:rsid w:val="003A3FB3"/>
    <w:rsid w:val="003A3FCF"/>
    <w:rsid w:val="003A4987"/>
    <w:rsid w:val="003A4FD0"/>
    <w:rsid w:val="003A50A2"/>
    <w:rsid w:val="003A5110"/>
    <w:rsid w:val="003A5245"/>
    <w:rsid w:val="003A52E9"/>
    <w:rsid w:val="003A5304"/>
    <w:rsid w:val="003A5AEB"/>
    <w:rsid w:val="003A60E0"/>
    <w:rsid w:val="003A6EC4"/>
    <w:rsid w:val="003A70BA"/>
    <w:rsid w:val="003A7ECC"/>
    <w:rsid w:val="003B092A"/>
    <w:rsid w:val="003B0AF2"/>
    <w:rsid w:val="003B0B34"/>
    <w:rsid w:val="003B0EDF"/>
    <w:rsid w:val="003B12AD"/>
    <w:rsid w:val="003B220F"/>
    <w:rsid w:val="003B27AF"/>
    <w:rsid w:val="003B330D"/>
    <w:rsid w:val="003B3593"/>
    <w:rsid w:val="003B3AA3"/>
    <w:rsid w:val="003B3D78"/>
    <w:rsid w:val="003B478B"/>
    <w:rsid w:val="003B570F"/>
    <w:rsid w:val="003B6387"/>
    <w:rsid w:val="003B6E43"/>
    <w:rsid w:val="003B7237"/>
    <w:rsid w:val="003C096D"/>
    <w:rsid w:val="003C0E95"/>
    <w:rsid w:val="003C1028"/>
    <w:rsid w:val="003C1653"/>
    <w:rsid w:val="003C205E"/>
    <w:rsid w:val="003C2158"/>
    <w:rsid w:val="003C2208"/>
    <w:rsid w:val="003C2388"/>
    <w:rsid w:val="003C2924"/>
    <w:rsid w:val="003C2D1C"/>
    <w:rsid w:val="003C2DFE"/>
    <w:rsid w:val="003C3114"/>
    <w:rsid w:val="003C4254"/>
    <w:rsid w:val="003C4632"/>
    <w:rsid w:val="003C4945"/>
    <w:rsid w:val="003C50AE"/>
    <w:rsid w:val="003C6260"/>
    <w:rsid w:val="003C6758"/>
    <w:rsid w:val="003C79A0"/>
    <w:rsid w:val="003D0B54"/>
    <w:rsid w:val="003D25F5"/>
    <w:rsid w:val="003D27CC"/>
    <w:rsid w:val="003D435F"/>
    <w:rsid w:val="003D43D3"/>
    <w:rsid w:val="003D554F"/>
    <w:rsid w:val="003D5D63"/>
    <w:rsid w:val="003D6A47"/>
    <w:rsid w:val="003D6DF2"/>
    <w:rsid w:val="003D703A"/>
    <w:rsid w:val="003D7146"/>
    <w:rsid w:val="003D748A"/>
    <w:rsid w:val="003D76D8"/>
    <w:rsid w:val="003D7D3E"/>
    <w:rsid w:val="003E04DE"/>
    <w:rsid w:val="003E0E01"/>
    <w:rsid w:val="003E0E9C"/>
    <w:rsid w:val="003E1044"/>
    <w:rsid w:val="003E168D"/>
    <w:rsid w:val="003E1CA9"/>
    <w:rsid w:val="003E1E55"/>
    <w:rsid w:val="003E22C4"/>
    <w:rsid w:val="003E3A1D"/>
    <w:rsid w:val="003E470E"/>
    <w:rsid w:val="003E4DD3"/>
    <w:rsid w:val="003E657B"/>
    <w:rsid w:val="003E7065"/>
    <w:rsid w:val="003E7485"/>
    <w:rsid w:val="003E7507"/>
    <w:rsid w:val="003E7898"/>
    <w:rsid w:val="003E7CE2"/>
    <w:rsid w:val="003F0597"/>
    <w:rsid w:val="003F107C"/>
    <w:rsid w:val="003F18F7"/>
    <w:rsid w:val="003F1E9D"/>
    <w:rsid w:val="003F362B"/>
    <w:rsid w:val="003F3656"/>
    <w:rsid w:val="003F3B02"/>
    <w:rsid w:val="003F3BF4"/>
    <w:rsid w:val="003F3FAF"/>
    <w:rsid w:val="003F670D"/>
    <w:rsid w:val="003F7B32"/>
    <w:rsid w:val="00400110"/>
    <w:rsid w:val="00400526"/>
    <w:rsid w:val="00400983"/>
    <w:rsid w:val="004015FB"/>
    <w:rsid w:val="00401990"/>
    <w:rsid w:val="004034CD"/>
    <w:rsid w:val="00403ED5"/>
    <w:rsid w:val="0040459B"/>
    <w:rsid w:val="00404C21"/>
    <w:rsid w:val="00405294"/>
    <w:rsid w:val="004054B1"/>
    <w:rsid w:val="00405940"/>
    <w:rsid w:val="00405B58"/>
    <w:rsid w:val="00406A51"/>
    <w:rsid w:val="004074DD"/>
    <w:rsid w:val="00407696"/>
    <w:rsid w:val="004105E0"/>
    <w:rsid w:val="0041160A"/>
    <w:rsid w:val="00411F68"/>
    <w:rsid w:val="00412740"/>
    <w:rsid w:val="004134EC"/>
    <w:rsid w:val="00413F4D"/>
    <w:rsid w:val="0041457A"/>
    <w:rsid w:val="004153FC"/>
    <w:rsid w:val="004158F0"/>
    <w:rsid w:val="00416547"/>
    <w:rsid w:val="004166F7"/>
    <w:rsid w:val="00416870"/>
    <w:rsid w:val="00417308"/>
    <w:rsid w:val="0041772A"/>
    <w:rsid w:val="0041779B"/>
    <w:rsid w:val="0042017B"/>
    <w:rsid w:val="004208F0"/>
    <w:rsid w:val="00420913"/>
    <w:rsid w:val="00420B43"/>
    <w:rsid w:val="00420D3C"/>
    <w:rsid w:val="004211F6"/>
    <w:rsid w:val="00421A81"/>
    <w:rsid w:val="00422883"/>
    <w:rsid w:val="00422ACC"/>
    <w:rsid w:val="0042416B"/>
    <w:rsid w:val="00424BD9"/>
    <w:rsid w:val="00424E25"/>
    <w:rsid w:val="0042529A"/>
    <w:rsid w:val="00425D46"/>
    <w:rsid w:val="00426845"/>
    <w:rsid w:val="00427219"/>
    <w:rsid w:val="004274C1"/>
    <w:rsid w:val="00427977"/>
    <w:rsid w:val="00427B82"/>
    <w:rsid w:val="00430234"/>
    <w:rsid w:val="00431767"/>
    <w:rsid w:val="00431E4B"/>
    <w:rsid w:val="0043207F"/>
    <w:rsid w:val="0043296A"/>
    <w:rsid w:val="00433CB2"/>
    <w:rsid w:val="004343BC"/>
    <w:rsid w:val="00434700"/>
    <w:rsid w:val="00434E44"/>
    <w:rsid w:val="00434E64"/>
    <w:rsid w:val="00435604"/>
    <w:rsid w:val="00435631"/>
    <w:rsid w:val="00435C79"/>
    <w:rsid w:val="004367EF"/>
    <w:rsid w:val="0043688A"/>
    <w:rsid w:val="00436F71"/>
    <w:rsid w:val="0043785F"/>
    <w:rsid w:val="00437CA2"/>
    <w:rsid w:val="004409C3"/>
    <w:rsid w:val="00440B2D"/>
    <w:rsid w:val="00440D16"/>
    <w:rsid w:val="004414D4"/>
    <w:rsid w:val="004421AE"/>
    <w:rsid w:val="004421E3"/>
    <w:rsid w:val="004425F2"/>
    <w:rsid w:val="004430BB"/>
    <w:rsid w:val="0044331B"/>
    <w:rsid w:val="00443831"/>
    <w:rsid w:val="004442BE"/>
    <w:rsid w:val="00444D14"/>
    <w:rsid w:val="00445B5E"/>
    <w:rsid w:val="004468AE"/>
    <w:rsid w:val="00446911"/>
    <w:rsid w:val="00446EA3"/>
    <w:rsid w:val="00450343"/>
    <w:rsid w:val="00450950"/>
    <w:rsid w:val="00450EFF"/>
    <w:rsid w:val="00451043"/>
    <w:rsid w:val="00451104"/>
    <w:rsid w:val="00451534"/>
    <w:rsid w:val="00452F6C"/>
    <w:rsid w:val="004535E1"/>
    <w:rsid w:val="00454144"/>
    <w:rsid w:val="0045422F"/>
    <w:rsid w:val="0045433C"/>
    <w:rsid w:val="0045471C"/>
    <w:rsid w:val="0045473B"/>
    <w:rsid w:val="00457115"/>
    <w:rsid w:val="00460705"/>
    <w:rsid w:val="00460A24"/>
    <w:rsid w:val="00460BC9"/>
    <w:rsid w:val="0046151F"/>
    <w:rsid w:val="00462AA7"/>
    <w:rsid w:val="00463AB6"/>
    <w:rsid w:val="00464052"/>
    <w:rsid w:val="00464102"/>
    <w:rsid w:val="00465799"/>
    <w:rsid w:val="0046586B"/>
    <w:rsid w:val="004660F5"/>
    <w:rsid w:val="0046675F"/>
    <w:rsid w:val="004674F7"/>
    <w:rsid w:val="00470219"/>
    <w:rsid w:val="00470256"/>
    <w:rsid w:val="004704F9"/>
    <w:rsid w:val="00470847"/>
    <w:rsid w:val="004708C0"/>
    <w:rsid w:val="00471039"/>
    <w:rsid w:val="00471447"/>
    <w:rsid w:val="0047153E"/>
    <w:rsid w:val="00471B70"/>
    <w:rsid w:val="00471D1D"/>
    <w:rsid w:val="00471D33"/>
    <w:rsid w:val="0047220A"/>
    <w:rsid w:val="004726C0"/>
    <w:rsid w:val="0047271F"/>
    <w:rsid w:val="004728D6"/>
    <w:rsid w:val="00472EDA"/>
    <w:rsid w:val="004732C6"/>
    <w:rsid w:val="00473ED5"/>
    <w:rsid w:val="004744E1"/>
    <w:rsid w:val="00474682"/>
    <w:rsid w:val="00475530"/>
    <w:rsid w:val="004758DE"/>
    <w:rsid w:val="00475AE3"/>
    <w:rsid w:val="00475F4B"/>
    <w:rsid w:val="004769C3"/>
    <w:rsid w:val="00477159"/>
    <w:rsid w:val="00477B88"/>
    <w:rsid w:val="00480253"/>
    <w:rsid w:val="004805D6"/>
    <w:rsid w:val="00480B8A"/>
    <w:rsid w:val="00481C22"/>
    <w:rsid w:val="004825A3"/>
    <w:rsid w:val="00482DFE"/>
    <w:rsid w:val="004834BC"/>
    <w:rsid w:val="00484AD3"/>
    <w:rsid w:val="004851EA"/>
    <w:rsid w:val="004856B0"/>
    <w:rsid w:val="0048573D"/>
    <w:rsid w:val="00485A63"/>
    <w:rsid w:val="00486746"/>
    <w:rsid w:val="004868DB"/>
    <w:rsid w:val="00486BF3"/>
    <w:rsid w:val="004872D2"/>
    <w:rsid w:val="00487AE4"/>
    <w:rsid w:val="00490B11"/>
    <w:rsid w:val="00490E21"/>
    <w:rsid w:val="00491AFA"/>
    <w:rsid w:val="00491B25"/>
    <w:rsid w:val="00491FB6"/>
    <w:rsid w:val="0049217B"/>
    <w:rsid w:val="00492CCE"/>
    <w:rsid w:val="004931A3"/>
    <w:rsid w:val="0049326A"/>
    <w:rsid w:val="00493412"/>
    <w:rsid w:val="00493C3D"/>
    <w:rsid w:val="00495348"/>
    <w:rsid w:val="0049640D"/>
    <w:rsid w:val="00497168"/>
    <w:rsid w:val="004972DE"/>
    <w:rsid w:val="004972E4"/>
    <w:rsid w:val="00497732"/>
    <w:rsid w:val="00497984"/>
    <w:rsid w:val="00497C57"/>
    <w:rsid w:val="00497D4F"/>
    <w:rsid w:val="004A02DC"/>
    <w:rsid w:val="004A0C09"/>
    <w:rsid w:val="004A126D"/>
    <w:rsid w:val="004A1AC9"/>
    <w:rsid w:val="004A2333"/>
    <w:rsid w:val="004A29E4"/>
    <w:rsid w:val="004A32F1"/>
    <w:rsid w:val="004A33E9"/>
    <w:rsid w:val="004A371F"/>
    <w:rsid w:val="004A3EA6"/>
    <w:rsid w:val="004A3ECA"/>
    <w:rsid w:val="004A478D"/>
    <w:rsid w:val="004A4BF6"/>
    <w:rsid w:val="004A5001"/>
    <w:rsid w:val="004A590B"/>
    <w:rsid w:val="004A5D5B"/>
    <w:rsid w:val="004A69AD"/>
    <w:rsid w:val="004A69BD"/>
    <w:rsid w:val="004A6D0D"/>
    <w:rsid w:val="004B04C6"/>
    <w:rsid w:val="004B08D3"/>
    <w:rsid w:val="004B1613"/>
    <w:rsid w:val="004B2572"/>
    <w:rsid w:val="004B2685"/>
    <w:rsid w:val="004B35F7"/>
    <w:rsid w:val="004B3D4B"/>
    <w:rsid w:val="004B3E3D"/>
    <w:rsid w:val="004B4273"/>
    <w:rsid w:val="004B4E32"/>
    <w:rsid w:val="004B5321"/>
    <w:rsid w:val="004B5383"/>
    <w:rsid w:val="004B64B5"/>
    <w:rsid w:val="004B7076"/>
    <w:rsid w:val="004B74AF"/>
    <w:rsid w:val="004C049D"/>
    <w:rsid w:val="004C202B"/>
    <w:rsid w:val="004C26B8"/>
    <w:rsid w:val="004C26D2"/>
    <w:rsid w:val="004C4444"/>
    <w:rsid w:val="004C4CB2"/>
    <w:rsid w:val="004C4D5D"/>
    <w:rsid w:val="004C4EED"/>
    <w:rsid w:val="004C5924"/>
    <w:rsid w:val="004C5F79"/>
    <w:rsid w:val="004C612A"/>
    <w:rsid w:val="004C637F"/>
    <w:rsid w:val="004C722F"/>
    <w:rsid w:val="004C7237"/>
    <w:rsid w:val="004D03FA"/>
    <w:rsid w:val="004D07E5"/>
    <w:rsid w:val="004D14A8"/>
    <w:rsid w:val="004D2992"/>
    <w:rsid w:val="004D2BAF"/>
    <w:rsid w:val="004D2C10"/>
    <w:rsid w:val="004D3202"/>
    <w:rsid w:val="004D3F5F"/>
    <w:rsid w:val="004D469E"/>
    <w:rsid w:val="004D4741"/>
    <w:rsid w:val="004D48A5"/>
    <w:rsid w:val="004D4B44"/>
    <w:rsid w:val="004D4E20"/>
    <w:rsid w:val="004D6730"/>
    <w:rsid w:val="004D7FEA"/>
    <w:rsid w:val="004E0C6B"/>
    <w:rsid w:val="004E0D06"/>
    <w:rsid w:val="004E183B"/>
    <w:rsid w:val="004E1C62"/>
    <w:rsid w:val="004E2497"/>
    <w:rsid w:val="004E24BC"/>
    <w:rsid w:val="004E2DFB"/>
    <w:rsid w:val="004E3363"/>
    <w:rsid w:val="004E3D51"/>
    <w:rsid w:val="004E3F63"/>
    <w:rsid w:val="004E4F5A"/>
    <w:rsid w:val="004E5131"/>
    <w:rsid w:val="004E5520"/>
    <w:rsid w:val="004E55BA"/>
    <w:rsid w:val="004E565E"/>
    <w:rsid w:val="004E67DD"/>
    <w:rsid w:val="004E7840"/>
    <w:rsid w:val="004E791A"/>
    <w:rsid w:val="004F07EF"/>
    <w:rsid w:val="004F0AE6"/>
    <w:rsid w:val="004F0C24"/>
    <w:rsid w:val="004F16D1"/>
    <w:rsid w:val="004F18F6"/>
    <w:rsid w:val="004F1AD1"/>
    <w:rsid w:val="004F344E"/>
    <w:rsid w:val="004F370D"/>
    <w:rsid w:val="004F3CFC"/>
    <w:rsid w:val="004F4A05"/>
    <w:rsid w:val="004F52B4"/>
    <w:rsid w:val="004F59BE"/>
    <w:rsid w:val="004F5D8B"/>
    <w:rsid w:val="004F63DF"/>
    <w:rsid w:val="004F6CAB"/>
    <w:rsid w:val="004F6DE8"/>
    <w:rsid w:val="004F7887"/>
    <w:rsid w:val="004F79B7"/>
    <w:rsid w:val="005008CC"/>
    <w:rsid w:val="005010D2"/>
    <w:rsid w:val="005016B0"/>
    <w:rsid w:val="00501D0E"/>
    <w:rsid w:val="0050202E"/>
    <w:rsid w:val="00502774"/>
    <w:rsid w:val="00503B05"/>
    <w:rsid w:val="00503DFC"/>
    <w:rsid w:val="00503F34"/>
    <w:rsid w:val="005041F1"/>
    <w:rsid w:val="00504901"/>
    <w:rsid w:val="00504C1B"/>
    <w:rsid w:val="005063ED"/>
    <w:rsid w:val="0050642C"/>
    <w:rsid w:val="00506B0A"/>
    <w:rsid w:val="00506B3B"/>
    <w:rsid w:val="00506BF3"/>
    <w:rsid w:val="00506E8E"/>
    <w:rsid w:val="00507250"/>
    <w:rsid w:val="005076C2"/>
    <w:rsid w:val="00507FF6"/>
    <w:rsid w:val="00510671"/>
    <w:rsid w:val="00510B87"/>
    <w:rsid w:val="00511346"/>
    <w:rsid w:val="00511BC9"/>
    <w:rsid w:val="00511C57"/>
    <w:rsid w:val="0051274C"/>
    <w:rsid w:val="005128B6"/>
    <w:rsid w:val="00512E54"/>
    <w:rsid w:val="00513932"/>
    <w:rsid w:val="00513F5E"/>
    <w:rsid w:val="00514271"/>
    <w:rsid w:val="005148A3"/>
    <w:rsid w:val="00514F62"/>
    <w:rsid w:val="00515560"/>
    <w:rsid w:val="00516548"/>
    <w:rsid w:val="00517831"/>
    <w:rsid w:val="005216FD"/>
    <w:rsid w:val="00522232"/>
    <w:rsid w:val="00522383"/>
    <w:rsid w:val="005228C3"/>
    <w:rsid w:val="0052315E"/>
    <w:rsid w:val="005231BF"/>
    <w:rsid w:val="005234AF"/>
    <w:rsid w:val="00525787"/>
    <w:rsid w:val="00525DF4"/>
    <w:rsid w:val="0052705D"/>
    <w:rsid w:val="005270A5"/>
    <w:rsid w:val="005271CF"/>
    <w:rsid w:val="00527651"/>
    <w:rsid w:val="00530D42"/>
    <w:rsid w:val="00530E86"/>
    <w:rsid w:val="00530E90"/>
    <w:rsid w:val="00531247"/>
    <w:rsid w:val="005314AC"/>
    <w:rsid w:val="00531A41"/>
    <w:rsid w:val="005325CC"/>
    <w:rsid w:val="005335C3"/>
    <w:rsid w:val="005346FE"/>
    <w:rsid w:val="00534965"/>
    <w:rsid w:val="00534CB4"/>
    <w:rsid w:val="00534ECB"/>
    <w:rsid w:val="005358B4"/>
    <w:rsid w:val="0054064D"/>
    <w:rsid w:val="005406FD"/>
    <w:rsid w:val="0054089B"/>
    <w:rsid w:val="00540AC5"/>
    <w:rsid w:val="00540BE7"/>
    <w:rsid w:val="005426C2"/>
    <w:rsid w:val="005429BE"/>
    <w:rsid w:val="00542A11"/>
    <w:rsid w:val="00545A36"/>
    <w:rsid w:val="00546559"/>
    <w:rsid w:val="005465E0"/>
    <w:rsid w:val="005467EB"/>
    <w:rsid w:val="00546AA5"/>
    <w:rsid w:val="00547601"/>
    <w:rsid w:val="00547BA0"/>
    <w:rsid w:val="0055015D"/>
    <w:rsid w:val="0055058D"/>
    <w:rsid w:val="00550895"/>
    <w:rsid w:val="00551FFF"/>
    <w:rsid w:val="005520D4"/>
    <w:rsid w:val="00553EB0"/>
    <w:rsid w:val="0055426F"/>
    <w:rsid w:val="00554678"/>
    <w:rsid w:val="00555222"/>
    <w:rsid w:val="00557809"/>
    <w:rsid w:val="00557C85"/>
    <w:rsid w:val="00560C19"/>
    <w:rsid w:val="00560ED1"/>
    <w:rsid w:val="00561B7D"/>
    <w:rsid w:val="005628B3"/>
    <w:rsid w:val="00562D36"/>
    <w:rsid w:val="00562E23"/>
    <w:rsid w:val="00563170"/>
    <w:rsid w:val="00564F63"/>
    <w:rsid w:val="00565E32"/>
    <w:rsid w:val="005665B1"/>
    <w:rsid w:val="00566CFC"/>
    <w:rsid w:val="0056722B"/>
    <w:rsid w:val="00567C21"/>
    <w:rsid w:val="00567CDC"/>
    <w:rsid w:val="00570837"/>
    <w:rsid w:val="00570843"/>
    <w:rsid w:val="00570BDD"/>
    <w:rsid w:val="00572558"/>
    <w:rsid w:val="00573060"/>
    <w:rsid w:val="00573821"/>
    <w:rsid w:val="0057388C"/>
    <w:rsid w:val="00573CDB"/>
    <w:rsid w:val="00574019"/>
    <w:rsid w:val="0057413F"/>
    <w:rsid w:val="00574A2F"/>
    <w:rsid w:val="00575E3A"/>
    <w:rsid w:val="0057657D"/>
    <w:rsid w:val="00576614"/>
    <w:rsid w:val="005768F3"/>
    <w:rsid w:val="00576E52"/>
    <w:rsid w:val="005776D2"/>
    <w:rsid w:val="00577957"/>
    <w:rsid w:val="00577C14"/>
    <w:rsid w:val="00580123"/>
    <w:rsid w:val="005802BF"/>
    <w:rsid w:val="0058095C"/>
    <w:rsid w:val="00580F2D"/>
    <w:rsid w:val="00581039"/>
    <w:rsid w:val="005814AC"/>
    <w:rsid w:val="00581D56"/>
    <w:rsid w:val="00581E19"/>
    <w:rsid w:val="00582246"/>
    <w:rsid w:val="00582436"/>
    <w:rsid w:val="0058309C"/>
    <w:rsid w:val="00584093"/>
    <w:rsid w:val="0058425B"/>
    <w:rsid w:val="00584758"/>
    <w:rsid w:val="00585AB6"/>
    <w:rsid w:val="00585AD7"/>
    <w:rsid w:val="00585C38"/>
    <w:rsid w:val="00585D17"/>
    <w:rsid w:val="00586018"/>
    <w:rsid w:val="00586FA1"/>
    <w:rsid w:val="0058707E"/>
    <w:rsid w:val="005879B7"/>
    <w:rsid w:val="005926A9"/>
    <w:rsid w:val="005926FE"/>
    <w:rsid w:val="00593133"/>
    <w:rsid w:val="00593A64"/>
    <w:rsid w:val="00593B3D"/>
    <w:rsid w:val="00593E9F"/>
    <w:rsid w:val="00593F1C"/>
    <w:rsid w:val="00594585"/>
    <w:rsid w:val="0059507E"/>
    <w:rsid w:val="005950FE"/>
    <w:rsid w:val="005957C7"/>
    <w:rsid w:val="00596CE0"/>
    <w:rsid w:val="00597509"/>
    <w:rsid w:val="00597CC7"/>
    <w:rsid w:val="005A0745"/>
    <w:rsid w:val="005A23B8"/>
    <w:rsid w:val="005A27B6"/>
    <w:rsid w:val="005A2E34"/>
    <w:rsid w:val="005A3212"/>
    <w:rsid w:val="005A3289"/>
    <w:rsid w:val="005A36A6"/>
    <w:rsid w:val="005A4372"/>
    <w:rsid w:val="005A4BB0"/>
    <w:rsid w:val="005A5697"/>
    <w:rsid w:val="005A5FB6"/>
    <w:rsid w:val="005A60A1"/>
    <w:rsid w:val="005A6369"/>
    <w:rsid w:val="005A6B2B"/>
    <w:rsid w:val="005A6F1D"/>
    <w:rsid w:val="005A79A8"/>
    <w:rsid w:val="005A7C0B"/>
    <w:rsid w:val="005A7EB7"/>
    <w:rsid w:val="005B02B8"/>
    <w:rsid w:val="005B02E3"/>
    <w:rsid w:val="005B09C4"/>
    <w:rsid w:val="005B0A27"/>
    <w:rsid w:val="005B1014"/>
    <w:rsid w:val="005B1521"/>
    <w:rsid w:val="005B325E"/>
    <w:rsid w:val="005B33EC"/>
    <w:rsid w:val="005B445D"/>
    <w:rsid w:val="005B5097"/>
    <w:rsid w:val="005B6768"/>
    <w:rsid w:val="005B6912"/>
    <w:rsid w:val="005B6C42"/>
    <w:rsid w:val="005B6FD5"/>
    <w:rsid w:val="005B71BC"/>
    <w:rsid w:val="005B77A5"/>
    <w:rsid w:val="005C01F5"/>
    <w:rsid w:val="005C029D"/>
    <w:rsid w:val="005C1110"/>
    <w:rsid w:val="005C1739"/>
    <w:rsid w:val="005C2B41"/>
    <w:rsid w:val="005C2EDD"/>
    <w:rsid w:val="005C331A"/>
    <w:rsid w:val="005C33EA"/>
    <w:rsid w:val="005C3832"/>
    <w:rsid w:val="005C41EB"/>
    <w:rsid w:val="005C473B"/>
    <w:rsid w:val="005C595F"/>
    <w:rsid w:val="005C5BF2"/>
    <w:rsid w:val="005C68C9"/>
    <w:rsid w:val="005D0118"/>
    <w:rsid w:val="005D02B0"/>
    <w:rsid w:val="005D0483"/>
    <w:rsid w:val="005D0680"/>
    <w:rsid w:val="005D07D9"/>
    <w:rsid w:val="005D0F3E"/>
    <w:rsid w:val="005D1941"/>
    <w:rsid w:val="005D1BE9"/>
    <w:rsid w:val="005D238E"/>
    <w:rsid w:val="005D2895"/>
    <w:rsid w:val="005D3956"/>
    <w:rsid w:val="005D3CAB"/>
    <w:rsid w:val="005D3E5E"/>
    <w:rsid w:val="005D3EA9"/>
    <w:rsid w:val="005D44DC"/>
    <w:rsid w:val="005D466C"/>
    <w:rsid w:val="005D5B33"/>
    <w:rsid w:val="005D5DB2"/>
    <w:rsid w:val="005D63D7"/>
    <w:rsid w:val="005D6464"/>
    <w:rsid w:val="005D6C02"/>
    <w:rsid w:val="005D6FB7"/>
    <w:rsid w:val="005D733B"/>
    <w:rsid w:val="005D7830"/>
    <w:rsid w:val="005D7C3B"/>
    <w:rsid w:val="005D7D69"/>
    <w:rsid w:val="005D7E3C"/>
    <w:rsid w:val="005E05A8"/>
    <w:rsid w:val="005E180C"/>
    <w:rsid w:val="005E1D4B"/>
    <w:rsid w:val="005E2168"/>
    <w:rsid w:val="005E22C7"/>
    <w:rsid w:val="005E2815"/>
    <w:rsid w:val="005E2EB3"/>
    <w:rsid w:val="005E3E9B"/>
    <w:rsid w:val="005E400D"/>
    <w:rsid w:val="005E4FD6"/>
    <w:rsid w:val="005E5415"/>
    <w:rsid w:val="005E59F9"/>
    <w:rsid w:val="005E5D06"/>
    <w:rsid w:val="005E5EBF"/>
    <w:rsid w:val="005E6632"/>
    <w:rsid w:val="005F01B6"/>
    <w:rsid w:val="005F0D2E"/>
    <w:rsid w:val="005F1F0E"/>
    <w:rsid w:val="005F1FC0"/>
    <w:rsid w:val="005F2467"/>
    <w:rsid w:val="005F2E1B"/>
    <w:rsid w:val="005F3BED"/>
    <w:rsid w:val="005F3E46"/>
    <w:rsid w:val="005F3E4D"/>
    <w:rsid w:val="005F4616"/>
    <w:rsid w:val="005F5357"/>
    <w:rsid w:val="005F5404"/>
    <w:rsid w:val="005F72D8"/>
    <w:rsid w:val="00600D77"/>
    <w:rsid w:val="00600D95"/>
    <w:rsid w:val="006013E0"/>
    <w:rsid w:val="006031AF"/>
    <w:rsid w:val="006041E2"/>
    <w:rsid w:val="006066F1"/>
    <w:rsid w:val="00606A68"/>
    <w:rsid w:val="00607796"/>
    <w:rsid w:val="006078F5"/>
    <w:rsid w:val="0061222E"/>
    <w:rsid w:val="006137C3"/>
    <w:rsid w:val="00613A81"/>
    <w:rsid w:val="00613B5D"/>
    <w:rsid w:val="00615041"/>
    <w:rsid w:val="0061649F"/>
    <w:rsid w:val="00616BA1"/>
    <w:rsid w:val="006170EF"/>
    <w:rsid w:val="00617A67"/>
    <w:rsid w:val="00617BEB"/>
    <w:rsid w:val="0062089F"/>
    <w:rsid w:val="00621856"/>
    <w:rsid w:val="00621D9E"/>
    <w:rsid w:val="006224E7"/>
    <w:rsid w:val="00622CF0"/>
    <w:rsid w:val="00623440"/>
    <w:rsid w:val="00623925"/>
    <w:rsid w:val="006240DA"/>
    <w:rsid w:val="00624689"/>
    <w:rsid w:val="00624CE0"/>
    <w:rsid w:val="00624EBB"/>
    <w:rsid w:val="00625499"/>
    <w:rsid w:val="00626C37"/>
    <w:rsid w:val="00626FDF"/>
    <w:rsid w:val="00627948"/>
    <w:rsid w:val="006279EF"/>
    <w:rsid w:val="00627C24"/>
    <w:rsid w:val="0063078B"/>
    <w:rsid w:val="00630D99"/>
    <w:rsid w:val="0063159E"/>
    <w:rsid w:val="00631648"/>
    <w:rsid w:val="006318E1"/>
    <w:rsid w:val="00631A6E"/>
    <w:rsid w:val="006332C7"/>
    <w:rsid w:val="00633518"/>
    <w:rsid w:val="00633DBA"/>
    <w:rsid w:val="00633F5E"/>
    <w:rsid w:val="00634247"/>
    <w:rsid w:val="0063428A"/>
    <w:rsid w:val="00634856"/>
    <w:rsid w:val="00634C05"/>
    <w:rsid w:val="00635858"/>
    <w:rsid w:val="00635BAA"/>
    <w:rsid w:val="00636540"/>
    <w:rsid w:val="00636DBD"/>
    <w:rsid w:val="00636E2D"/>
    <w:rsid w:val="00637056"/>
    <w:rsid w:val="0064120B"/>
    <w:rsid w:val="00641433"/>
    <w:rsid w:val="00641937"/>
    <w:rsid w:val="00642021"/>
    <w:rsid w:val="0064218D"/>
    <w:rsid w:val="00642A99"/>
    <w:rsid w:val="00642FBC"/>
    <w:rsid w:val="0064322F"/>
    <w:rsid w:val="00644E45"/>
    <w:rsid w:val="00645377"/>
    <w:rsid w:val="0064643D"/>
    <w:rsid w:val="00646954"/>
    <w:rsid w:val="006473DB"/>
    <w:rsid w:val="0064773C"/>
    <w:rsid w:val="00647784"/>
    <w:rsid w:val="00647BE8"/>
    <w:rsid w:val="0065045C"/>
    <w:rsid w:val="00651154"/>
    <w:rsid w:val="006514F8"/>
    <w:rsid w:val="00651A47"/>
    <w:rsid w:val="00652533"/>
    <w:rsid w:val="00652BA1"/>
    <w:rsid w:val="0065300A"/>
    <w:rsid w:val="0065327D"/>
    <w:rsid w:val="00653B2B"/>
    <w:rsid w:val="00653B79"/>
    <w:rsid w:val="00654BBD"/>
    <w:rsid w:val="006550AF"/>
    <w:rsid w:val="006551E0"/>
    <w:rsid w:val="006559CC"/>
    <w:rsid w:val="00655B47"/>
    <w:rsid w:val="00655B8C"/>
    <w:rsid w:val="006575AC"/>
    <w:rsid w:val="00657C7C"/>
    <w:rsid w:val="00657DDA"/>
    <w:rsid w:val="0066023F"/>
    <w:rsid w:val="0066027B"/>
    <w:rsid w:val="00660442"/>
    <w:rsid w:val="00660A7D"/>
    <w:rsid w:val="0066108F"/>
    <w:rsid w:val="00661441"/>
    <w:rsid w:val="0066175C"/>
    <w:rsid w:val="006617C3"/>
    <w:rsid w:val="00661962"/>
    <w:rsid w:val="00661A4E"/>
    <w:rsid w:val="006620AD"/>
    <w:rsid w:val="00663397"/>
    <w:rsid w:val="00663FAD"/>
    <w:rsid w:val="006656A6"/>
    <w:rsid w:val="00665ECF"/>
    <w:rsid w:val="0066619E"/>
    <w:rsid w:val="00667089"/>
    <w:rsid w:val="0067164A"/>
    <w:rsid w:val="00671777"/>
    <w:rsid w:val="006717A3"/>
    <w:rsid w:val="00671ECF"/>
    <w:rsid w:val="00672383"/>
    <w:rsid w:val="0067261D"/>
    <w:rsid w:val="006727AC"/>
    <w:rsid w:val="00672A2B"/>
    <w:rsid w:val="00672FEF"/>
    <w:rsid w:val="0067484C"/>
    <w:rsid w:val="00674884"/>
    <w:rsid w:val="00675156"/>
    <w:rsid w:val="006754A3"/>
    <w:rsid w:val="0067782A"/>
    <w:rsid w:val="0068033A"/>
    <w:rsid w:val="00680AAE"/>
    <w:rsid w:val="0068173C"/>
    <w:rsid w:val="006817AF"/>
    <w:rsid w:val="006820FF"/>
    <w:rsid w:val="00682184"/>
    <w:rsid w:val="006821CC"/>
    <w:rsid w:val="0068256D"/>
    <w:rsid w:val="00682795"/>
    <w:rsid w:val="00683592"/>
    <w:rsid w:val="006836AA"/>
    <w:rsid w:val="00683796"/>
    <w:rsid w:val="00684C07"/>
    <w:rsid w:val="0068542B"/>
    <w:rsid w:val="00685467"/>
    <w:rsid w:val="00685E82"/>
    <w:rsid w:val="006864D5"/>
    <w:rsid w:val="00686596"/>
    <w:rsid w:val="00686868"/>
    <w:rsid w:val="00686CA3"/>
    <w:rsid w:val="00687097"/>
    <w:rsid w:val="00687307"/>
    <w:rsid w:val="0069013E"/>
    <w:rsid w:val="006905FD"/>
    <w:rsid w:val="00690E47"/>
    <w:rsid w:val="00691370"/>
    <w:rsid w:val="0069195E"/>
    <w:rsid w:val="00691E3B"/>
    <w:rsid w:val="00692444"/>
    <w:rsid w:val="00693383"/>
    <w:rsid w:val="006934E4"/>
    <w:rsid w:val="00693D6C"/>
    <w:rsid w:val="006945C1"/>
    <w:rsid w:val="006946EF"/>
    <w:rsid w:val="00695A2C"/>
    <w:rsid w:val="00696BA6"/>
    <w:rsid w:val="006975A9"/>
    <w:rsid w:val="006975E3"/>
    <w:rsid w:val="0069760B"/>
    <w:rsid w:val="00697882"/>
    <w:rsid w:val="0069792B"/>
    <w:rsid w:val="00697B51"/>
    <w:rsid w:val="00697E8F"/>
    <w:rsid w:val="006A0433"/>
    <w:rsid w:val="006A0757"/>
    <w:rsid w:val="006A08BD"/>
    <w:rsid w:val="006A0913"/>
    <w:rsid w:val="006A0BB6"/>
    <w:rsid w:val="006A0CA6"/>
    <w:rsid w:val="006A1512"/>
    <w:rsid w:val="006A18F3"/>
    <w:rsid w:val="006A1ECF"/>
    <w:rsid w:val="006A230B"/>
    <w:rsid w:val="006A351A"/>
    <w:rsid w:val="006A3B5A"/>
    <w:rsid w:val="006A411A"/>
    <w:rsid w:val="006A552D"/>
    <w:rsid w:val="006A5708"/>
    <w:rsid w:val="006A5A1C"/>
    <w:rsid w:val="006A6B2C"/>
    <w:rsid w:val="006A6D52"/>
    <w:rsid w:val="006A77FC"/>
    <w:rsid w:val="006A7BD0"/>
    <w:rsid w:val="006B0266"/>
    <w:rsid w:val="006B11E8"/>
    <w:rsid w:val="006B12D2"/>
    <w:rsid w:val="006B14FF"/>
    <w:rsid w:val="006B1FC1"/>
    <w:rsid w:val="006B2086"/>
    <w:rsid w:val="006B2CA2"/>
    <w:rsid w:val="006B3C2A"/>
    <w:rsid w:val="006B695F"/>
    <w:rsid w:val="006B6E07"/>
    <w:rsid w:val="006B6E0B"/>
    <w:rsid w:val="006B780E"/>
    <w:rsid w:val="006B7ED4"/>
    <w:rsid w:val="006C0202"/>
    <w:rsid w:val="006C0438"/>
    <w:rsid w:val="006C0465"/>
    <w:rsid w:val="006C0877"/>
    <w:rsid w:val="006C09E5"/>
    <w:rsid w:val="006C0CD4"/>
    <w:rsid w:val="006C1139"/>
    <w:rsid w:val="006C15C1"/>
    <w:rsid w:val="006C15D0"/>
    <w:rsid w:val="006C1649"/>
    <w:rsid w:val="006C1ABB"/>
    <w:rsid w:val="006C2082"/>
    <w:rsid w:val="006C2BF9"/>
    <w:rsid w:val="006C2CF5"/>
    <w:rsid w:val="006C31B7"/>
    <w:rsid w:val="006C39DF"/>
    <w:rsid w:val="006C3B01"/>
    <w:rsid w:val="006C434A"/>
    <w:rsid w:val="006C4C14"/>
    <w:rsid w:val="006C60A7"/>
    <w:rsid w:val="006C6BFF"/>
    <w:rsid w:val="006C7006"/>
    <w:rsid w:val="006C770A"/>
    <w:rsid w:val="006C7D09"/>
    <w:rsid w:val="006D0BD2"/>
    <w:rsid w:val="006D0C10"/>
    <w:rsid w:val="006D0E54"/>
    <w:rsid w:val="006D23F8"/>
    <w:rsid w:val="006D2675"/>
    <w:rsid w:val="006D3119"/>
    <w:rsid w:val="006D50CD"/>
    <w:rsid w:val="006D5C60"/>
    <w:rsid w:val="006D63AB"/>
    <w:rsid w:val="006D68DC"/>
    <w:rsid w:val="006D7C60"/>
    <w:rsid w:val="006D7C72"/>
    <w:rsid w:val="006E004B"/>
    <w:rsid w:val="006E1197"/>
    <w:rsid w:val="006E15E3"/>
    <w:rsid w:val="006E17ED"/>
    <w:rsid w:val="006E1CB7"/>
    <w:rsid w:val="006E2B29"/>
    <w:rsid w:val="006E2BE2"/>
    <w:rsid w:val="006E2F48"/>
    <w:rsid w:val="006E3028"/>
    <w:rsid w:val="006E3061"/>
    <w:rsid w:val="006E3C78"/>
    <w:rsid w:val="006E3F95"/>
    <w:rsid w:val="006E4152"/>
    <w:rsid w:val="006E51CE"/>
    <w:rsid w:val="006E54CD"/>
    <w:rsid w:val="006E6238"/>
    <w:rsid w:val="006E738B"/>
    <w:rsid w:val="006E743A"/>
    <w:rsid w:val="006E7C49"/>
    <w:rsid w:val="006E7EE4"/>
    <w:rsid w:val="006F0457"/>
    <w:rsid w:val="006F0688"/>
    <w:rsid w:val="006F0D13"/>
    <w:rsid w:val="006F0E4F"/>
    <w:rsid w:val="006F193E"/>
    <w:rsid w:val="006F1D72"/>
    <w:rsid w:val="006F2C8F"/>
    <w:rsid w:val="006F2F4D"/>
    <w:rsid w:val="006F2FA8"/>
    <w:rsid w:val="006F304C"/>
    <w:rsid w:val="006F31BB"/>
    <w:rsid w:val="006F3583"/>
    <w:rsid w:val="006F3EDF"/>
    <w:rsid w:val="006F62E6"/>
    <w:rsid w:val="006F6A79"/>
    <w:rsid w:val="006F794A"/>
    <w:rsid w:val="006F7D06"/>
    <w:rsid w:val="0070068D"/>
    <w:rsid w:val="00700954"/>
    <w:rsid w:val="00700B00"/>
    <w:rsid w:val="007034D0"/>
    <w:rsid w:val="00705643"/>
    <w:rsid w:val="00705867"/>
    <w:rsid w:val="00705BCE"/>
    <w:rsid w:val="007067B6"/>
    <w:rsid w:val="00706F3D"/>
    <w:rsid w:val="00707120"/>
    <w:rsid w:val="00707360"/>
    <w:rsid w:val="00707602"/>
    <w:rsid w:val="007101B4"/>
    <w:rsid w:val="00710424"/>
    <w:rsid w:val="00710591"/>
    <w:rsid w:val="00710D71"/>
    <w:rsid w:val="007114B7"/>
    <w:rsid w:val="007119A5"/>
    <w:rsid w:val="00711ED0"/>
    <w:rsid w:val="007122EA"/>
    <w:rsid w:val="007125AF"/>
    <w:rsid w:val="00712B97"/>
    <w:rsid w:val="0071373B"/>
    <w:rsid w:val="007137CC"/>
    <w:rsid w:val="00714273"/>
    <w:rsid w:val="007143DA"/>
    <w:rsid w:val="00714B40"/>
    <w:rsid w:val="00714E60"/>
    <w:rsid w:val="007159FC"/>
    <w:rsid w:val="00715DF7"/>
    <w:rsid w:val="00715FBB"/>
    <w:rsid w:val="00716AC6"/>
    <w:rsid w:val="00716E1D"/>
    <w:rsid w:val="00717305"/>
    <w:rsid w:val="00717A01"/>
    <w:rsid w:val="00720767"/>
    <w:rsid w:val="0072177C"/>
    <w:rsid w:val="00721B0F"/>
    <w:rsid w:val="00722189"/>
    <w:rsid w:val="007224D0"/>
    <w:rsid w:val="00722F6F"/>
    <w:rsid w:val="00723405"/>
    <w:rsid w:val="00723882"/>
    <w:rsid w:val="007241BC"/>
    <w:rsid w:val="00724CEF"/>
    <w:rsid w:val="00724E91"/>
    <w:rsid w:val="00725C97"/>
    <w:rsid w:val="0072706F"/>
    <w:rsid w:val="00727137"/>
    <w:rsid w:val="00727A17"/>
    <w:rsid w:val="00727BBA"/>
    <w:rsid w:val="007325A2"/>
    <w:rsid w:val="00732857"/>
    <w:rsid w:val="007328CF"/>
    <w:rsid w:val="00732D99"/>
    <w:rsid w:val="0073492C"/>
    <w:rsid w:val="00735048"/>
    <w:rsid w:val="007351D8"/>
    <w:rsid w:val="00735526"/>
    <w:rsid w:val="007355D2"/>
    <w:rsid w:val="007360D9"/>
    <w:rsid w:val="00736399"/>
    <w:rsid w:val="00736E1B"/>
    <w:rsid w:val="00740BD9"/>
    <w:rsid w:val="00741BD7"/>
    <w:rsid w:val="00741C47"/>
    <w:rsid w:val="00742AC3"/>
    <w:rsid w:val="00742C5C"/>
    <w:rsid w:val="00743347"/>
    <w:rsid w:val="00743842"/>
    <w:rsid w:val="00743C10"/>
    <w:rsid w:val="00744469"/>
    <w:rsid w:val="00744E00"/>
    <w:rsid w:val="007450B8"/>
    <w:rsid w:val="00745108"/>
    <w:rsid w:val="00745483"/>
    <w:rsid w:val="00745AD8"/>
    <w:rsid w:val="00745DC4"/>
    <w:rsid w:val="0074699A"/>
    <w:rsid w:val="00750029"/>
    <w:rsid w:val="00750300"/>
    <w:rsid w:val="007516A5"/>
    <w:rsid w:val="00751780"/>
    <w:rsid w:val="00751949"/>
    <w:rsid w:val="00751D5F"/>
    <w:rsid w:val="007539E9"/>
    <w:rsid w:val="00753AB7"/>
    <w:rsid w:val="00754325"/>
    <w:rsid w:val="00754E50"/>
    <w:rsid w:val="0075581F"/>
    <w:rsid w:val="00756238"/>
    <w:rsid w:val="0075742A"/>
    <w:rsid w:val="00760577"/>
    <w:rsid w:val="00760F13"/>
    <w:rsid w:val="00761915"/>
    <w:rsid w:val="00761A82"/>
    <w:rsid w:val="00761D08"/>
    <w:rsid w:val="00762239"/>
    <w:rsid w:val="0076296C"/>
    <w:rsid w:val="00763124"/>
    <w:rsid w:val="00763B79"/>
    <w:rsid w:val="007645FF"/>
    <w:rsid w:val="00765A34"/>
    <w:rsid w:val="00765CE4"/>
    <w:rsid w:val="00766BC9"/>
    <w:rsid w:val="00766FB9"/>
    <w:rsid w:val="0076762A"/>
    <w:rsid w:val="0076780C"/>
    <w:rsid w:val="00767C96"/>
    <w:rsid w:val="00770188"/>
    <w:rsid w:val="00771DB9"/>
    <w:rsid w:val="007724D5"/>
    <w:rsid w:val="00772D6A"/>
    <w:rsid w:val="00773421"/>
    <w:rsid w:val="00773FE4"/>
    <w:rsid w:val="007745FE"/>
    <w:rsid w:val="00774BE8"/>
    <w:rsid w:val="00774E22"/>
    <w:rsid w:val="00775997"/>
    <w:rsid w:val="00775C47"/>
    <w:rsid w:val="0077630F"/>
    <w:rsid w:val="00776ACD"/>
    <w:rsid w:val="00777AFE"/>
    <w:rsid w:val="00777F87"/>
    <w:rsid w:val="00780E61"/>
    <w:rsid w:val="00781B40"/>
    <w:rsid w:val="00781DEE"/>
    <w:rsid w:val="00782F93"/>
    <w:rsid w:val="00783280"/>
    <w:rsid w:val="0078348A"/>
    <w:rsid w:val="0078439E"/>
    <w:rsid w:val="00784FCF"/>
    <w:rsid w:val="0078567D"/>
    <w:rsid w:val="00786307"/>
    <w:rsid w:val="007909B3"/>
    <w:rsid w:val="007926D5"/>
    <w:rsid w:val="007933DD"/>
    <w:rsid w:val="007937C5"/>
    <w:rsid w:val="007942AD"/>
    <w:rsid w:val="00795F00"/>
    <w:rsid w:val="00796363"/>
    <w:rsid w:val="00796BF0"/>
    <w:rsid w:val="00797719"/>
    <w:rsid w:val="00797C38"/>
    <w:rsid w:val="007A00D5"/>
    <w:rsid w:val="007A02DF"/>
    <w:rsid w:val="007A0429"/>
    <w:rsid w:val="007A0E66"/>
    <w:rsid w:val="007A106F"/>
    <w:rsid w:val="007A2498"/>
    <w:rsid w:val="007A24BB"/>
    <w:rsid w:val="007A29D4"/>
    <w:rsid w:val="007A3C20"/>
    <w:rsid w:val="007A4238"/>
    <w:rsid w:val="007A430C"/>
    <w:rsid w:val="007A5BDE"/>
    <w:rsid w:val="007A7334"/>
    <w:rsid w:val="007B062B"/>
    <w:rsid w:val="007B1D47"/>
    <w:rsid w:val="007B1E4F"/>
    <w:rsid w:val="007B2888"/>
    <w:rsid w:val="007B2E46"/>
    <w:rsid w:val="007B348B"/>
    <w:rsid w:val="007B3B43"/>
    <w:rsid w:val="007B4778"/>
    <w:rsid w:val="007B48BA"/>
    <w:rsid w:val="007B4A01"/>
    <w:rsid w:val="007B4AFC"/>
    <w:rsid w:val="007B4F7A"/>
    <w:rsid w:val="007B5150"/>
    <w:rsid w:val="007B601C"/>
    <w:rsid w:val="007B6A7F"/>
    <w:rsid w:val="007B7908"/>
    <w:rsid w:val="007B7955"/>
    <w:rsid w:val="007C11F4"/>
    <w:rsid w:val="007C17FC"/>
    <w:rsid w:val="007C2155"/>
    <w:rsid w:val="007C2C4A"/>
    <w:rsid w:val="007C2DEA"/>
    <w:rsid w:val="007C32BD"/>
    <w:rsid w:val="007C33B5"/>
    <w:rsid w:val="007C34A5"/>
    <w:rsid w:val="007C4CD5"/>
    <w:rsid w:val="007C52B7"/>
    <w:rsid w:val="007C5542"/>
    <w:rsid w:val="007C58E4"/>
    <w:rsid w:val="007C5C1F"/>
    <w:rsid w:val="007C5EDE"/>
    <w:rsid w:val="007C61F7"/>
    <w:rsid w:val="007C6E99"/>
    <w:rsid w:val="007C7142"/>
    <w:rsid w:val="007C7AFB"/>
    <w:rsid w:val="007D00CB"/>
    <w:rsid w:val="007D01A0"/>
    <w:rsid w:val="007D04AD"/>
    <w:rsid w:val="007D0603"/>
    <w:rsid w:val="007D0A9F"/>
    <w:rsid w:val="007D0D66"/>
    <w:rsid w:val="007D1A82"/>
    <w:rsid w:val="007D25AD"/>
    <w:rsid w:val="007D2A65"/>
    <w:rsid w:val="007D40C4"/>
    <w:rsid w:val="007D41E2"/>
    <w:rsid w:val="007D4ED5"/>
    <w:rsid w:val="007D5525"/>
    <w:rsid w:val="007D6641"/>
    <w:rsid w:val="007D6E62"/>
    <w:rsid w:val="007D7195"/>
    <w:rsid w:val="007D7349"/>
    <w:rsid w:val="007D76C4"/>
    <w:rsid w:val="007D78F4"/>
    <w:rsid w:val="007D7EEF"/>
    <w:rsid w:val="007D7FDE"/>
    <w:rsid w:val="007E05B5"/>
    <w:rsid w:val="007E06E3"/>
    <w:rsid w:val="007E0752"/>
    <w:rsid w:val="007E08B4"/>
    <w:rsid w:val="007E0AC6"/>
    <w:rsid w:val="007E0D7B"/>
    <w:rsid w:val="007E16E6"/>
    <w:rsid w:val="007E32BD"/>
    <w:rsid w:val="007E656C"/>
    <w:rsid w:val="007E6919"/>
    <w:rsid w:val="007E79BB"/>
    <w:rsid w:val="007F09E0"/>
    <w:rsid w:val="007F0EBD"/>
    <w:rsid w:val="007F1437"/>
    <w:rsid w:val="007F2CA7"/>
    <w:rsid w:val="007F2FA3"/>
    <w:rsid w:val="007F312E"/>
    <w:rsid w:val="007F31D9"/>
    <w:rsid w:val="007F353D"/>
    <w:rsid w:val="007F3847"/>
    <w:rsid w:val="007F3890"/>
    <w:rsid w:val="007F3975"/>
    <w:rsid w:val="007F4106"/>
    <w:rsid w:val="007F5D85"/>
    <w:rsid w:val="007F5E32"/>
    <w:rsid w:val="007F664B"/>
    <w:rsid w:val="007F722E"/>
    <w:rsid w:val="007F7693"/>
    <w:rsid w:val="008004F5"/>
    <w:rsid w:val="00800D8F"/>
    <w:rsid w:val="00801868"/>
    <w:rsid w:val="00801956"/>
    <w:rsid w:val="00802183"/>
    <w:rsid w:val="00802A9E"/>
    <w:rsid w:val="00802F87"/>
    <w:rsid w:val="00803155"/>
    <w:rsid w:val="00803A06"/>
    <w:rsid w:val="00806401"/>
    <w:rsid w:val="008073E6"/>
    <w:rsid w:val="00807B58"/>
    <w:rsid w:val="00811BB0"/>
    <w:rsid w:val="00811DBB"/>
    <w:rsid w:val="00812210"/>
    <w:rsid w:val="0081223B"/>
    <w:rsid w:val="00812C84"/>
    <w:rsid w:val="00813336"/>
    <w:rsid w:val="00815AFF"/>
    <w:rsid w:val="00816354"/>
    <w:rsid w:val="00816666"/>
    <w:rsid w:val="00817EBC"/>
    <w:rsid w:val="0082003B"/>
    <w:rsid w:val="00820C60"/>
    <w:rsid w:val="00820E63"/>
    <w:rsid w:val="00821160"/>
    <w:rsid w:val="0082184D"/>
    <w:rsid w:val="00821983"/>
    <w:rsid w:val="0082199A"/>
    <w:rsid w:val="00822DD6"/>
    <w:rsid w:val="00822F6F"/>
    <w:rsid w:val="00823DE5"/>
    <w:rsid w:val="00823EFA"/>
    <w:rsid w:val="008246A6"/>
    <w:rsid w:val="00824C0F"/>
    <w:rsid w:val="00825C9C"/>
    <w:rsid w:val="00825F06"/>
    <w:rsid w:val="0082604B"/>
    <w:rsid w:val="0082614F"/>
    <w:rsid w:val="0082622E"/>
    <w:rsid w:val="0082661B"/>
    <w:rsid w:val="00826B58"/>
    <w:rsid w:val="00826D44"/>
    <w:rsid w:val="00827634"/>
    <w:rsid w:val="00827732"/>
    <w:rsid w:val="00827916"/>
    <w:rsid w:val="00827C0D"/>
    <w:rsid w:val="00827DC9"/>
    <w:rsid w:val="00827DE2"/>
    <w:rsid w:val="0083042C"/>
    <w:rsid w:val="0083058B"/>
    <w:rsid w:val="0083125D"/>
    <w:rsid w:val="0083186B"/>
    <w:rsid w:val="0083221A"/>
    <w:rsid w:val="008325C4"/>
    <w:rsid w:val="008325DA"/>
    <w:rsid w:val="00832D5A"/>
    <w:rsid w:val="00833A0C"/>
    <w:rsid w:val="00833A84"/>
    <w:rsid w:val="008344F7"/>
    <w:rsid w:val="008346FB"/>
    <w:rsid w:val="00834762"/>
    <w:rsid w:val="00834825"/>
    <w:rsid w:val="00834D94"/>
    <w:rsid w:val="0083547E"/>
    <w:rsid w:val="00835688"/>
    <w:rsid w:val="00835BBC"/>
    <w:rsid w:val="00837999"/>
    <w:rsid w:val="008379F4"/>
    <w:rsid w:val="008400A3"/>
    <w:rsid w:val="0084029C"/>
    <w:rsid w:val="008407EE"/>
    <w:rsid w:val="00842AB8"/>
    <w:rsid w:val="0084366E"/>
    <w:rsid w:val="0084390C"/>
    <w:rsid w:val="00843B31"/>
    <w:rsid w:val="00844A9A"/>
    <w:rsid w:val="00844D2C"/>
    <w:rsid w:val="00845B57"/>
    <w:rsid w:val="00845E27"/>
    <w:rsid w:val="00846510"/>
    <w:rsid w:val="008473C5"/>
    <w:rsid w:val="008504B5"/>
    <w:rsid w:val="00851B6E"/>
    <w:rsid w:val="00851DBD"/>
    <w:rsid w:val="00851ED1"/>
    <w:rsid w:val="00852392"/>
    <w:rsid w:val="008528CB"/>
    <w:rsid w:val="00853079"/>
    <w:rsid w:val="008533E4"/>
    <w:rsid w:val="00853CBC"/>
    <w:rsid w:val="00855149"/>
    <w:rsid w:val="008557C6"/>
    <w:rsid w:val="00856033"/>
    <w:rsid w:val="008577BA"/>
    <w:rsid w:val="00857F10"/>
    <w:rsid w:val="008607BD"/>
    <w:rsid w:val="00860A63"/>
    <w:rsid w:val="00860E74"/>
    <w:rsid w:val="00860E86"/>
    <w:rsid w:val="00862AF0"/>
    <w:rsid w:val="0086425D"/>
    <w:rsid w:val="00864620"/>
    <w:rsid w:val="008658DF"/>
    <w:rsid w:val="00865A29"/>
    <w:rsid w:val="008660BF"/>
    <w:rsid w:val="00866C9F"/>
    <w:rsid w:val="008671A5"/>
    <w:rsid w:val="008674D7"/>
    <w:rsid w:val="00867752"/>
    <w:rsid w:val="008704DD"/>
    <w:rsid w:val="008735A9"/>
    <w:rsid w:val="0087389D"/>
    <w:rsid w:val="0087393D"/>
    <w:rsid w:val="00873B08"/>
    <w:rsid w:val="00874428"/>
    <w:rsid w:val="00874D53"/>
    <w:rsid w:val="008750A7"/>
    <w:rsid w:val="00876C88"/>
    <w:rsid w:val="008770F6"/>
    <w:rsid w:val="008771D1"/>
    <w:rsid w:val="00877221"/>
    <w:rsid w:val="0088145B"/>
    <w:rsid w:val="00881FD0"/>
    <w:rsid w:val="008824D7"/>
    <w:rsid w:val="00882754"/>
    <w:rsid w:val="008830DC"/>
    <w:rsid w:val="008840E8"/>
    <w:rsid w:val="00884A19"/>
    <w:rsid w:val="00884DDB"/>
    <w:rsid w:val="0088505E"/>
    <w:rsid w:val="0088514D"/>
    <w:rsid w:val="00885A0C"/>
    <w:rsid w:val="00886365"/>
    <w:rsid w:val="00886A05"/>
    <w:rsid w:val="008870BF"/>
    <w:rsid w:val="0088731E"/>
    <w:rsid w:val="00887488"/>
    <w:rsid w:val="00887F4C"/>
    <w:rsid w:val="00890C24"/>
    <w:rsid w:val="00892A7A"/>
    <w:rsid w:val="00892D30"/>
    <w:rsid w:val="00892EE4"/>
    <w:rsid w:val="008931AC"/>
    <w:rsid w:val="00893809"/>
    <w:rsid w:val="00893925"/>
    <w:rsid w:val="00893EDA"/>
    <w:rsid w:val="008941B1"/>
    <w:rsid w:val="00894425"/>
    <w:rsid w:val="008944F4"/>
    <w:rsid w:val="00894BC8"/>
    <w:rsid w:val="00895293"/>
    <w:rsid w:val="00895E43"/>
    <w:rsid w:val="00895FC6"/>
    <w:rsid w:val="0089607C"/>
    <w:rsid w:val="00896312"/>
    <w:rsid w:val="00896515"/>
    <w:rsid w:val="00897342"/>
    <w:rsid w:val="008A0C9C"/>
    <w:rsid w:val="008A184F"/>
    <w:rsid w:val="008A1CBA"/>
    <w:rsid w:val="008A1F00"/>
    <w:rsid w:val="008A22C8"/>
    <w:rsid w:val="008A2B76"/>
    <w:rsid w:val="008A3AF4"/>
    <w:rsid w:val="008A448E"/>
    <w:rsid w:val="008A49DB"/>
    <w:rsid w:val="008A4DF1"/>
    <w:rsid w:val="008A6651"/>
    <w:rsid w:val="008A6CD6"/>
    <w:rsid w:val="008B0864"/>
    <w:rsid w:val="008B1424"/>
    <w:rsid w:val="008B1F2A"/>
    <w:rsid w:val="008B21F1"/>
    <w:rsid w:val="008B3B4F"/>
    <w:rsid w:val="008B44A6"/>
    <w:rsid w:val="008B4A63"/>
    <w:rsid w:val="008B4AC5"/>
    <w:rsid w:val="008B4BB5"/>
    <w:rsid w:val="008B4FD3"/>
    <w:rsid w:val="008B50A5"/>
    <w:rsid w:val="008B57B9"/>
    <w:rsid w:val="008B595A"/>
    <w:rsid w:val="008B6246"/>
    <w:rsid w:val="008B629D"/>
    <w:rsid w:val="008B725E"/>
    <w:rsid w:val="008B79DF"/>
    <w:rsid w:val="008C02D0"/>
    <w:rsid w:val="008C0A72"/>
    <w:rsid w:val="008C154C"/>
    <w:rsid w:val="008C1716"/>
    <w:rsid w:val="008C2130"/>
    <w:rsid w:val="008C2800"/>
    <w:rsid w:val="008C2EDB"/>
    <w:rsid w:val="008C3CBE"/>
    <w:rsid w:val="008C4B42"/>
    <w:rsid w:val="008C7124"/>
    <w:rsid w:val="008C7E44"/>
    <w:rsid w:val="008C7EB7"/>
    <w:rsid w:val="008D14A9"/>
    <w:rsid w:val="008D15AB"/>
    <w:rsid w:val="008D19E3"/>
    <w:rsid w:val="008D1AAF"/>
    <w:rsid w:val="008D24DB"/>
    <w:rsid w:val="008D27B7"/>
    <w:rsid w:val="008D2E6F"/>
    <w:rsid w:val="008D31F4"/>
    <w:rsid w:val="008D37EC"/>
    <w:rsid w:val="008D3806"/>
    <w:rsid w:val="008D3987"/>
    <w:rsid w:val="008D449D"/>
    <w:rsid w:val="008D44AA"/>
    <w:rsid w:val="008D45C1"/>
    <w:rsid w:val="008D4C14"/>
    <w:rsid w:val="008D51E7"/>
    <w:rsid w:val="008D56B0"/>
    <w:rsid w:val="008D72E0"/>
    <w:rsid w:val="008D7771"/>
    <w:rsid w:val="008D7E8B"/>
    <w:rsid w:val="008E0A82"/>
    <w:rsid w:val="008E1D55"/>
    <w:rsid w:val="008E2245"/>
    <w:rsid w:val="008E2CA1"/>
    <w:rsid w:val="008E2FF5"/>
    <w:rsid w:val="008E3E7B"/>
    <w:rsid w:val="008E570B"/>
    <w:rsid w:val="008E6069"/>
    <w:rsid w:val="008E6F7E"/>
    <w:rsid w:val="008E7C4D"/>
    <w:rsid w:val="008E7F17"/>
    <w:rsid w:val="008F01C0"/>
    <w:rsid w:val="008F16DE"/>
    <w:rsid w:val="008F1A4F"/>
    <w:rsid w:val="008F271B"/>
    <w:rsid w:val="008F2722"/>
    <w:rsid w:val="008F33D5"/>
    <w:rsid w:val="008F3C1D"/>
    <w:rsid w:val="008F448C"/>
    <w:rsid w:val="008F4F52"/>
    <w:rsid w:val="008F569E"/>
    <w:rsid w:val="008F617D"/>
    <w:rsid w:val="008F649D"/>
    <w:rsid w:val="008F6A9C"/>
    <w:rsid w:val="008F7AF7"/>
    <w:rsid w:val="008F7FE5"/>
    <w:rsid w:val="00900152"/>
    <w:rsid w:val="009003A0"/>
    <w:rsid w:val="00901E11"/>
    <w:rsid w:val="00902061"/>
    <w:rsid w:val="009020FD"/>
    <w:rsid w:val="00902516"/>
    <w:rsid w:val="00902EFF"/>
    <w:rsid w:val="0090394D"/>
    <w:rsid w:val="00904143"/>
    <w:rsid w:val="00904392"/>
    <w:rsid w:val="00905625"/>
    <w:rsid w:val="00905DCF"/>
    <w:rsid w:val="009062E4"/>
    <w:rsid w:val="0090637D"/>
    <w:rsid w:val="00906611"/>
    <w:rsid w:val="00907253"/>
    <w:rsid w:val="0090769B"/>
    <w:rsid w:val="00907B6A"/>
    <w:rsid w:val="0091058F"/>
    <w:rsid w:val="009108B8"/>
    <w:rsid w:val="00910B8F"/>
    <w:rsid w:val="0091145D"/>
    <w:rsid w:val="00911F1B"/>
    <w:rsid w:val="00912426"/>
    <w:rsid w:val="00912704"/>
    <w:rsid w:val="00912930"/>
    <w:rsid w:val="00912A95"/>
    <w:rsid w:val="009130EC"/>
    <w:rsid w:val="009137E2"/>
    <w:rsid w:val="00913D87"/>
    <w:rsid w:val="009141A8"/>
    <w:rsid w:val="00915686"/>
    <w:rsid w:val="00916F2D"/>
    <w:rsid w:val="00917757"/>
    <w:rsid w:val="00917D1F"/>
    <w:rsid w:val="00920825"/>
    <w:rsid w:val="009208FB"/>
    <w:rsid w:val="00921080"/>
    <w:rsid w:val="00921B19"/>
    <w:rsid w:val="00922514"/>
    <w:rsid w:val="009228E3"/>
    <w:rsid w:val="00922AF0"/>
    <w:rsid w:val="009251D3"/>
    <w:rsid w:val="00925A8C"/>
    <w:rsid w:val="00925C4D"/>
    <w:rsid w:val="0092631F"/>
    <w:rsid w:val="009264DD"/>
    <w:rsid w:val="009264E7"/>
    <w:rsid w:val="0092695A"/>
    <w:rsid w:val="00926B60"/>
    <w:rsid w:val="0092700E"/>
    <w:rsid w:val="00927831"/>
    <w:rsid w:val="00927ECD"/>
    <w:rsid w:val="0093047E"/>
    <w:rsid w:val="00930FD8"/>
    <w:rsid w:val="009314EC"/>
    <w:rsid w:val="009323ED"/>
    <w:rsid w:val="00932455"/>
    <w:rsid w:val="009326A8"/>
    <w:rsid w:val="009341B4"/>
    <w:rsid w:val="009342AC"/>
    <w:rsid w:val="00935CCF"/>
    <w:rsid w:val="009367D0"/>
    <w:rsid w:val="00936D2F"/>
    <w:rsid w:val="00937628"/>
    <w:rsid w:val="009407CD"/>
    <w:rsid w:val="00941491"/>
    <w:rsid w:val="00941528"/>
    <w:rsid w:val="00941F71"/>
    <w:rsid w:val="00943520"/>
    <w:rsid w:val="0094372F"/>
    <w:rsid w:val="00943EDF"/>
    <w:rsid w:val="0094475D"/>
    <w:rsid w:val="00945AD3"/>
    <w:rsid w:val="0094604B"/>
    <w:rsid w:val="00946866"/>
    <w:rsid w:val="00947733"/>
    <w:rsid w:val="00947A4C"/>
    <w:rsid w:val="00950395"/>
    <w:rsid w:val="0095040C"/>
    <w:rsid w:val="009508D9"/>
    <w:rsid w:val="00950B72"/>
    <w:rsid w:val="00950CC4"/>
    <w:rsid w:val="009514A1"/>
    <w:rsid w:val="00951B74"/>
    <w:rsid w:val="00951CA9"/>
    <w:rsid w:val="009526BA"/>
    <w:rsid w:val="0095365D"/>
    <w:rsid w:val="00953D66"/>
    <w:rsid w:val="00954235"/>
    <w:rsid w:val="00954470"/>
    <w:rsid w:val="00954471"/>
    <w:rsid w:val="00954845"/>
    <w:rsid w:val="009559E4"/>
    <w:rsid w:val="00955B9E"/>
    <w:rsid w:val="00955C8A"/>
    <w:rsid w:val="009563BB"/>
    <w:rsid w:val="00956640"/>
    <w:rsid w:val="00957271"/>
    <w:rsid w:val="009576E4"/>
    <w:rsid w:val="00957813"/>
    <w:rsid w:val="00957A04"/>
    <w:rsid w:val="00957E37"/>
    <w:rsid w:val="00957FC4"/>
    <w:rsid w:val="009603D0"/>
    <w:rsid w:val="00960BF0"/>
    <w:rsid w:val="00960F97"/>
    <w:rsid w:val="0096153B"/>
    <w:rsid w:val="00961623"/>
    <w:rsid w:val="00962AD8"/>
    <w:rsid w:val="009632D4"/>
    <w:rsid w:val="009637A0"/>
    <w:rsid w:val="0096486F"/>
    <w:rsid w:val="00965AF2"/>
    <w:rsid w:val="00966D00"/>
    <w:rsid w:val="009716F2"/>
    <w:rsid w:val="009727C5"/>
    <w:rsid w:val="00972F22"/>
    <w:rsid w:val="009734BD"/>
    <w:rsid w:val="00975C25"/>
    <w:rsid w:val="00975C85"/>
    <w:rsid w:val="009766A1"/>
    <w:rsid w:val="00976C98"/>
    <w:rsid w:val="00977552"/>
    <w:rsid w:val="00980990"/>
    <w:rsid w:val="00980D01"/>
    <w:rsid w:val="0098132C"/>
    <w:rsid w:val="009814DD"/>
    <w:rsid w:val="00981872"/>
    <w:rsid w:val="00982402"/>
    <w:rsid w:val="00983D5F"/>
    <w:rsid w:val="00985AB3"/>
    <w:rsid w:val="00985DD2"/>
    <w:rsid w:val="0098660E"/>
    <w:rsid w:val="0098677B"/>
    <w:rsid w:val="00986BBD"/>
    <w:rsid w:val="009874E6"/>
    <w:rsid w:val="00987987"/>
    <w:rsid w:val="00991EC1"/>
    <w:rsid w:val="009921AC"/>
    <w:rsid w:val="00995616"/>
    <w:rsid w:val="00995666"/>
    <w:rsid w:val="00995ED3"/>
    <w:rsid w:val="00996593"/>
    <w:rsid w:val="009969D7"/>
    <w:rsid w:val="00997118"/>
    <w:rsid w:val="009974CC"/>
    <w:rsid w:val="00997739"/>
    <w:rsid w:val="009978D4"/>
    <w:rsid w:val="00997EF3"/>
    <w:rsid w:val="00997F9E"/>
    <w:rsid w:val="009A00F9"/>
    <w:rsid w:val="009A031F"/>
    <w:rsid w:val="009A19F3"/>
    <w:rsid w:val="009A1F5D"/>
    <w:rsid w:val="009A1FF0"/>
    <w:rsid w:val="009A2085"/>
    <w:rsid w:val="009A2EF1"/>
    <w:rsid w:val="009A3696"/>
    <w:rsid w:val="009A3BC1"/>
    <w:rsid w:val="009A3F75"/>
    <w:rsid w:val="009A4537"/>
    <w:rsid w:val="009A4775"/>
    <w:rsid w:val="009A47E3"/>
    <w:rsid w:val="009A55CF"/>
    <w:rsid w:val="009A586D"/>
    <w:rsid w:val="009A6208"/>
    <w:rsid w:val="009A67C9"/>
    <w:rsid w:val="009A6BC1"/>
    <w:rsid w:val="009A6D05"/>
    <w:rsid w:val="009A7820"/>
    <w:rsid w:val="009A7AC5"/>
    <w:rsid w:val="009A7F14"/>
    <w:rsid w:val="009B04AF"/>
    <w:rsid w:val="009B0755"/>
    <w:rsid w:val="009B0DDF"/>
    <w:rsid w:val="009B20AD"/>
    <w:rsid w:val="009B2A1B"/>
    <w:rsid w:val="009B31E6"/>
    <w:rsid w:val="009B3682"/>
    <w:rsid w:val="009B4A71"/>
    <w:rsid w:val="009B4BFB"/>
    <w:rsid w:val="009B4C6F"/>
    <w:rsid w:val="009B563C"/>
    <w:rsid w:val="009B5D6E"/>
    <w:rsid w:val="009B6582"/>
    <w:rsid w:val="009B6791"/>
    <w:rsid w:val="009B764C"/>
    <w:rsid w:val="009B7955"/>
    <w:rsid w:val="009B7B83"/>
    <w:rsid w:val="009C06CA"/>
    <w:rsid w:val="009C09FE"/>
    <w:rsid w:val="009C1AE3"/>
    <w:rsid w:val="009C1C9C"/>
    <w:rsid w:val="009C2B2F"/>
    <w:rsid w:val="009C4710"/>
    <w:rsid w:val="009C4E2C"/>
    <w:rsid w:val="009C5A25"/>
    <w:rsid w:val="009C6033"/>
    <w:rsid w:val="009C6D75"/>
    <w:rsid w:val="009C76E3"/>
    <w:rsid w:val="009C7E2C"/>
    <w:rsid w:val="009D0026"/>
    <w:rsid w:val="009D0067"/>
    <w:rsid w:val="009D12BB"/>
    <w:rsid w:val="009D209A"/>
    <w:rsid w:val="009D3683"/>
    <w:rsid w:val="009D40CA"/>
    <w:rsid w:val="009D430B"/>
    <w:rsid w:val="009D5532"/>
    <w:rsid w:val="009D577D"/>
    <w:rsid w:val="009D5A45"/>
    <w:rsid w:val="009D5CA0"/>
    <w:rsid w:val="009D60C2"/>
    <w:rsid w:val="009D614B"/>
    <w:rsid w:val="009D68B9"/>
    <w:rsid w:val="009D6BE7"/>
    <w:rsid w:val="009D7551"/>
    <w:rsid w:val="009D788B"/>
    <w:rsid w:val="009E0162"/>
    <w:rsid w:val="009E1083"/>
    <w:rsid w:val="009E1713"/>
    <w:rsid w:val="009E1838"/>
    <w:rsid w:val="009E2221"/>
    <w:rsid w:val="009E2A58"/>
    <w:rsid w:val="009E3156"/>
    <w:rsid w:val="009E4BA8"/>
    <w:rsid w:val="009E52D7"/>
    <w:rsid w:val="009E639B"/>
    <w:rsid w:val="009E682C"/>
    <w:rsid w:val="009E6A28"/>
    <w:rsid w:val="009E6EC6"/>
    <w:rsid w:val="009E7131"/>
    <w:rsid w:val="009E781A"/>
    <w:rsid w:val="009F1AFE"/>
    <w:rsid w:val="009F3324"/>
    <w:rsid w:val="009F5C1E"/>
    <w:rsid w:val="009F5D22"/>
    <w:rsid w:val="009F7065"/>
    <w:rsid w:val="009F7A1C"/>
    <w:rsid w:val="00A000CA"/>
    <w:rsid w:val="00A00639"/>
    <w:rsid w:val="00A01489"/>
    <w:rsid w:val="00A01B7C"/>
    <w:rsid w:val="00A01E00"/>
    <w:rsid w:val="00A0221A"/>
    <w:rsid w:val="00A0394D"/>
    <w:rsid w:val="00A04837"/>
    <w:rsid w:val="00A05DD2"/>
    <w:rsid w:val="00A064CC"/>
    <w:rsid w:val="00A075D5"/>
    <w:rsid w:val="00A104FC"/>
    <w:rsid w:val="00A1080A"/>
    <w:rsid w:val="00A108C3"/>
    <w:rsid w:val="00A10B2D"/>
    <w:rsid w:val="00A110F7"/>
    <w:rsid w:val="00A124D9"/>
    <w:rsid w:val="00A129F3"/>
    <w:rsid w:val="00A12E28"/>
    <w:rsid w:val="00A137F7"/>
    <w:rsid w:val="00A13982"/>
    <w:rsid w:val="00A13B42"/>
    <w:rsid w:val="00A142FF"/>
    <w:rsid w:val="00A147DB"/>
    <w:rsid w:val="00A14D09"/>
    <w:rsid w:val="00A14DE7"/>
    <w:rsid w:val="00A15A25"/>
    <w:rsid w:val="00A15B7C"/>
    <w:rsid w:val="00A160AD"/>
    <w:rsid w:val="00A161A9"/>
    <w:rsid w:val="00A1669E"/>
    <w:rsid w:val="00A16D17"/>
    <w:rsid w:val="00A16EFD"/>
    <w:rsid w:val="00A174D4"/>
    <w:rsid w:val="00A20BC5"/>
    <w:rsid w:val="00A21054"/>
    <w:rsid w:val="00A21497"/>
    <w:rsid w:val="00A2228C"/>
    <w:rsid w:val="00A22750"/>
    <w:rsid w:val="00A231DE"/>
    <w:rsid w:val="00A24DA0"/>
    <w:rsid w:val="00A24DBB"/>
    <w:rsid w:val="00A25B0F"/>
    <w:rsid w:val="00A26209"/>
    <w:rsid w:val="00A2713E"/>
    <w:rsid w:val="00A271B5"/>
    <w:rsid w:val="00A276D8"/>
    <w:rsid w:val="00A27CEB"/>
    <w:rsid w:val="00A27F1A"/>
    <w:rsid w:val="00A301EC"/>
    <w:rsid w:val="00A3041C"/>
    <w:rsid w:val="00A3172A"/>
    <w:rsid w:val="00A3172D"/>
    <w:rsid w:val="00A33336"/>
    <w:rsid w:val="00A33B5D"/>
    <w:rsid w:val="00A34F03"/>
    <w:rsid w:val="00A35435"/>
    <w:rsid w:val="00A36A75"/>
    <w:rsid w:val="00A374B1"/>
    <w:rsid w:val="00A400D9"/>
    <w:rsid w:val="00A413F7"/>
    <w:rsid w:val="00A41973"/>
    <w:rsid w:val="00A420CE"/>
    <w:rsid w:val="00A4271C"/>
    <w:rsid w:val="00A42774"/>
    <w:rsid w:val="00A43410"/>
    <w:rsid w:val="00A43695"/>
    <w:rsid w:val="00A43DB9"/>
    <w:rsid w:val="00A440C8"/>
    <w:rsid w:val="00A44630"/>
    <w:rsid w:val="00A44D94"/>
    <w:rsid w:val="00A44E07"/>
    <w:rsid w:val="00A45128"/>
    <w:rsid w:val="00A4517E"/>
    <w:rsid w:val="00A45357"/>
    <w:rsid w:val="00A463E7"/>
    <w:rsid w:val="00A47081"/>
    <w:rsid w:val="00A502E5"/>
    <w:rsid w:val="00A5076A"/>
    <w:rsid w:val="00A51B13"/>
    <w:rsid w:val="00A51DC1"/>
    <w:rsid w:val="00A52030"/>
    <w:rsid w:val="00A521F4"/>
    <w:rsid w:val="00A5313B"/>
    <w:rsid w:val="00A53B08"/>
    <w:rsid w:val="00A54254"/>
    <w:rsid w:val="00A544A4"/>
    <w:rsid w:val="00A54563"/>
    <w:rsid w:val="00A547C5"/>
    <w:rsid w:val="00A5547F"/>
    <w:rsid w:val="00A5727A"/>
    <w:rsid w:val="00A604A4"/>
    <w:rsid w:val="00A60894"/>
    <w:rsid w:val="00A6165A"/>
    <w:rsid w:val="00A619B9"/>
    <w:rsid w:val="00A627E3"/>
    <w:rsid w:val="00A6296B"/>
    <w:rsid w:val="00A62BF9"/>
    <w:rsid w:val="00A63363"/>
    <w:rsid w:val="00A640D3"/>
    <w:rsid w:val="00A644C5"/>
    <w:rsid w:val="00A64528"/>
    <w:rsid w:val="00A654CA"/>
    <w:rsid w:val="00A65724"/>
    <w:rsid w:val="00A662D6"/>
    <w:rsid w:val="00A675BA"/>
    <w:rsid w:val="00A67864"/>
    <w:rsid w:val="00A67EC1"/>
    <w:rsid w:val="00A67FF0"/>
    <w:rsid w:val="00A70962"/>
    <w:rsid w:val="00A70B4A"/>
    <w:rsid w:val="00A71494"/>
    <w:rsid w:val="00A71977"/>
    <w:rsid w:val="00A71B9D"/>
    <w:rsid w:val="00A72622"/>
    <w:rsid w:val="00A72AB9"/>
    <w:rsid w:val="00A72CD4"/>
    <w:rsid w:val="00A73240"/>
    <w:rsid w:val="00A7325E"/>
    <w:rsid w:val="00A7345B"/>
    <w:rsid w:val="00A7352E"/>
    <w:rsid w:val="00A73B50"/>
    <w:rsid w:val="00A7426B"/>
    <w:rsid w:val="00A76613"/>
    <w:rsid w:val="00A77DC2"/>
    <w:rsid w:val="00A816B2"/>
    <w:rsid w:val="00A82F5A"/>
    <w:rsid w:val="00A83598"/>
    <w:rsid w:val="00A83E10"/>
    <w:rsid w:val="00A84468"/>
    <w:rsid w:val="00A845C7"/>
    <w:rsid w:val="00A854A3"/>
    <w:rsid w:val="00A85EEF"/>
    <w:rsid w:val="00A861D2"/>
    <w:rsid w:val="00A8649F"/>
    <w:rsid w:val="00A90165"/>
    <w:rsid w:val="00A90C4D"/>
    <w:rsid w:val="00A90F20"/>
    <w:rsid w:val="00A90F4D"/>
    <w:rsid w:val="00A9185E"/>
    <w:rsid w:val="00A91DBE"/>
    <w:rsid w:val="00A938F3"/>
    <w:rsid w:val="00A948E9"/>
    <w:rsid w:val="00A950DB"/>
    <w:rsid w:val="00A95D14"/>
    <w:rsid w:val="00A95E94"/>
    <w:rsid w:val="00A95F76"/>
    <w:rsid w:val="00A96BC6"/>
    <w:rsid w:val="00A96DD3"/>
    <w:rsid w:val="00A97476"/>
    <w:rsid w:val="00A978EA"/>
    <w:rsid w:val="00A97CE2"/>
    <w:rsid w:val="00AA04B6"/>
    <w:rsid w:val="00AA0729"/>
    <w:rsid w:val="00AA2423"/>
    <w:rsid w:val="00AA282C"/>
    <w:rsid w:val="00AA2C91"/>
    <w:rsid w:val="00AA3F50"/>
    <w:rsid w:val="00AA42D6"/>
    <w:rsid w:val="00AA42EB"/>
    <w:rsid w:val="00AA4B9B"/>
    <w:rsid w:val="00AA572E"/>
    <w:rsid w:val="00AA7979"/>
    <w:rsid w:val="00AB0687"/>
    <w:rsid w:val="00AB1B38"/>
    <w:rsid w:val="00AB1EE4"/>
    <w:rsid w:val="00AB2E25"/>
    <w:rsid w:val="00AB33B7"/>
    <w:rsid w:val="00AB3936"/>
    <w:rsid w:val="00AB3BCE"/>
    <w:rsid w:val="00AB3C59"/>
    <w:rsid w:val="00AB3FF2"/>
    <w:rsid w:val="00AB4418"/>
    <w:rsid w:val="00AB4E95"/>
    <w:rsid w:val="00AB588A"/>
    <w:rsid w:val="00AB5E04"/>
    <w:rsid w:val="00AB6D2A"/>
    <w:rsid w:val="00AB6EAD"/>
    <w:rsid w:val="00AB717C"/>
    <w:rsid w:val="00AB72BA"/>
    <w:rsid w:val="00AB7AC9"/>
    <w:rsid w:val="00AC0073"/>
    <w:rsid w:val="00AC0FC8"/>
    <w:rsid w:val="00AC12E6"/>
    <w:rsid w:val="00AC18C7"/>
    <w:rsid w:val="00AC22CF"/>
    <w:rsid w:val="00AC3986"/>
    <w:rsid w:val="00AC4978"/>
    <w:rsid w:val="00AC65CC"/>
    <w:rsid w:val="00AC66D2"/>
    <w:rsid w:val="00AC7072"/>
    <w:rsid w:val="00AC757D"/>
    <w:rsid w:val="00AD0F13"/>
    <w:rsid w:val="00AD1070"/>
    <w:rsid w:val="00AD1582"/>
    <w:rsid w:val="00AD272E"/>
    <w:rsid w:val="00AD279E"/>
    <w:rsid w:val="00AD2999"/>
    <w:rsid w:val="00AD36F9"/>
    <w:rsid w:val="00AD370F"/>
    <w:rsid w:val="00AD3812"/>
    <w:rsid w:val="00AD4377"/>
    <w:rsid w:val="00AD4F26"/>
    <w:rsid w:val="00AD5BB6"/>
    <w:rsid w:val="00AD644D"/>
    <w:rsid w:val="00AD6880"/>
    <w:rsid w:val="00AD69ED"/>
    <w:rsid w:val="00AD736B"/>
    <w:rsid w:val="00AE042C"/>
    <w:rsid w:val="00AE068C"/>
    <w:rsid w:val="00AE0AA7"/>
    <w:rsid w:val="00AE0D89"/>
    <w:rsid w:val="00AE1ADA"/>
    <w:rsid w:val="00AE1C32"/>
    <w:rsid w:val="00AE2082"/>
    <w:rsid w:val="00AE2438"/>
    <w:rsid w:val="00AE2522"/>
    <w:rsid w:val="00AE27A6"/>
    <w:rsid w:val="00AE2ABD"/>
    <w:rsid w:val="00AE2D48"/>
    <w:rsid w:val="00AE3F60"/>
    <w:rsid w:val="00AE49D4"/>
    <w:rsid w:val="00AE540D"/>
    <w:rsid w:val="00AE553B"/>
    <w:rsid w:val="00AE5641"/>
    <w:rsid w:val="00AE5E67"/>
    <w:rsid w:val="00AE67F8"/>
    <w:rsid w:val="00AE779F"/>
    <w:rsid w:val="00AF015F"/>
    <w:rsid w:val="00AF0885"/>
    <w:rsid w:val="00AF09F9"/>
    <w:rsid w:val="00AF162A"/>
    <w:rsid w:val="00AF3096"/>
    <w:rsid w:val="00AF3E95"/>
    <w:rsid w:val="00AF4665"/>
    <w:rsid w:val="00AF5E0B"/>
    <w:rsid w:val="00AF6349"/>
    <w:rsid w:val="00AF6524"/>
    <w:rsid w:val="00AF6C57"/>
    <w:rsid w:val="00AF6EFE"/>
    <w:rsid w:val="00AF73DF"/>
    <w:rsid w:val="00AF7CC6"/>
    <w:rsid w:val="00B01809"/>
    <w:rsid w:val="00B01E6B"/>
    <w:rsid w:val="00B0265D"/>
    <w:rsid w:val="00B0283E"/>
    <w:rsid w:val="00B02BDD"/>
    <w:rsid w:val="00B02DF7"/>
    <w:rsid w:val="00B03021"/>
    <w:rsid w:val="00B033F4"/>
    <w:rsid w:val="00B04FEC"/>
    <w:rsid w:val="00B0688B"/>
    <w:rsid w:val="00B068B5"/>
    <w:rsid w:val="00B06DB1"/>
    <w:rsid w:val="00B06E0C"/>
    <w:rsid w:val="00B07126"/>
    <w:rsid w:val="00B10786"/>
    <w:rsid w:val="00B10909"/>
    <w:rsid w:val="00B10F10"/>
    <w:rsid w:val="00B11331"/>
    <w:rsid w:val="00B117F6"/>
    <w:rsid w:val="00B12047"/>
    <w:rsid w:val="00B12201"/>
    <w:rsid w:val="00B133D8"/>
    <w:rsid w:val="00B13833"/>
    <w:rsid w:val="00B13D51"/>
    <w:rsid w:val="00B14433"/>
    <w:rsid w:val="00B14A37"/>
    <w:rsid w:val="00B15702"/>
    <w:rsid w:val="00B15E21"/>
    <w:rsid w:val="00B16CE4"/>
    <w:rsid w:val="00B16D1D"/>
    <w:rsid w:val="00B16E69"/>
    <w:rsid w:val="00B20494"/>
    <w:rsid w:val="00B2066F"/>
    <w:rsid w:val="00B208CD"/>
    <w:rsid w:val="00B226CD"/>
    <w:rsid w:val="00B2336A"/>
    <w:rsid w:val="00B234AD"/>
    <w:rsid w:val="00B23CA0"/>
    <w:rsid w:val="00B246AF"/>
    <w:rsid w:val="00B2594D"/>
    <w:rsid w:val="00B25F7A"/>
    <w:rsid w:val="00B26267"/>
    <w:rsid w:val="00B27215"/>
    <w:rsid w:val="00B2778E"/>
    <w:rsid w:val="00B30497"/>
    <w:rsid w:val="00B3257C"/>
    <w:rsid w:val="00B32A2F"/>
    <w:rsid w:val="00B33383"/>
    <w:rsid w:val="00B33398"/>
    <w:rsid w:val="00B33DDD"/>
    <w:rsid w:val="00B35FF5"/>
    <w:rsid w:val="00B36132"/>
    <w:rsid w:val="00B3617A"/>
    <w:rsid w:val="00B36214"/>
    <w:rsid w:val="00B36B99"/>
    <w:rsid w:val="00B36D2C"/>
    <w:rsid w:val="00B36E89"/>
    <w:rsid w:val="00B40371"/>
    <w:rsid w:val="00B4062C"/>
    <w:rsid w:val="00B4075F"/>
    <w:rsid w:val="00B411E4"/>
    <w:rsid w:val="00B4167A"/>
    <w:rsid w:val="00B41D83"/>
    <w:rsid w:val="00B42576"/>
    <w:rsid w:val="00B437F9"/>
    <w:rsid w:val="00B446BF"/>
    <w:rsid w:val="00B44ADE"/>
    <w:rsid w:val="00B453A5"/>
    <w:rsid w:val="00B4597A"/>
    <w:rsid w:val="00B45A8F"/>
    <w:rsid w:val="00B468B0"/>
    <w:rsid w:val="00B50552"/>
    <w:rsid w:val="00B50AB7"/>
    <w:rsid w:val="00B50EDD"/>
    <w:rsid w:val="00B531DA"/>
    <w:rsid w:val="00B53682"/>
    <w:rsid w:val="00B55B9F"/>
    <w:rsid w:val="00B56427"/>
    <w:rsid w:val="00B56764"/>
    <w:rsid w:val="00B56866"/>
    <w:rsid w:val="00B570D1"/>
    <w:rsid w:val="00B57E11"/>
    <w:rsid w:val="00B57ECB"/>
    <w:rsid w:val="00B57FB7"/>
    <w:rsid w:val="00B600A7"/>
    <w:rsid w:val="00B600FC"/>
    <w:rsid w:val="00B601BC"/>
    <w:rsid w:val="00B60473"/>
    <w:rsid w:val="00B607A0"/>
    <w:rsid w:val="00B6102A"/>
    <w:rsid w:val="00B6182C"/>
    <w:rsid w:val="00B61B79"/>
    <w:rsid w:val="00B61D96"/>
    <w:rsid w:val="00B61F69"/>
    <w:rsid w:val="00B623D5"/>
    <w:rsid w:val="00B62A94"/>
    <w:rsid w:val="00B62B0B"/>
    <w:rsid w:val="00B633E3"/>
    <w:rsid w:val="00B6354C"/>
    <w:rsid w:val="00B635C0"/>
    <w:rsid w:val="00B639AE"/>
    <w:rsid w:val="00B63BC5"/>
    <w:rsid w:val="00B6486A"/>
    <w:rsid w:val="00B64C69"/>
    <w:rsid w:val="00B64FE9"/>
    <w:rsid w:val="00B6667D"/>
    <w:rsid w:val="00B66ADA"/>
    <w:rsid w:val="00B67B3D"/>
    <w:rsid w:val="00B67E26"/>
    <w:rsid w:val="00B70A77"/>
    <w:rsid w:val="00B70FEA"/>
    <w:rsid w:val="00B7208B"/>
    <w:rsid w:val="00B72B19"/>
    <w:rsid w:val="00B72F87"/>
    <w:rsid w:val="00B7305B"/>
    <w:rsid w:val="00B73BA8"/>
    <w:rsid w:val="00B73F50"/>
    <w:rsid w:val="00B73F56"/>
    <w:rsid w:val="00B7423F"/>
    <w:rsid w:val="00B744FD"/>
    <w:rsid w:val="00B74770"/>
    <w:rsid w:val="00B750B3"/>
    <w:rsid w:val="00B7692B"/>
    <w:rsid w:val="00B76A3A"/>
    <w:rsid w:val="00B772A4"/>
    <w:rsid w:val="00B80970"/>
    <w:rsid w:val="00B80B06"/>
    <w:rsid w:val="00B817CC"/>
    <w:rsid w:val="00B82E10"/>
    <w:rsid w:val="00B831BA"/>
    <w:rsid w:val="00B851E2"/>
    <w:rsid w:val="00B85C21"/>
    <w:rsid w:val="00B85F7C"/>
    <w:rsid w:val="00B85F87"/>
    <w:rsid w:val="00B867C7"/>
    <w:rsid w:val="00B86C71"/>
    <w:rsid w:val="00B87925"/>
    <w:rsid w:val="00B87AC9"/>
    <w:rsid w:val="00B87C77"/>
    <w:rsid w:val="00B92516"/>
    <w:rsid w:val="00B9360A"/>
    <w:rsid w:val="00B94BD5"/>
    <w:rsid w:val="00B95E56"/>
    <w:rsid w:val="00B96E0C"/>
    <w:rsid w:val="00BA05AF"/>
    <w:rsid w:val="00BA05CB"/>
    <w:rsid w:val="00BA1244"/>
    <w:rsid w:val="00BA1CE0"/>
    <w:rsid w:val="00BA20BF"/>
    <w:rsid w:val="00BA238B"/>
    <w:rsid w:val="00BA2EF0"/>
    <w:rsid w:val="00BA3B9E"/>
    <w:rsid w:val="00BA3D32"/>
    <w:rsid w:val="00BA3DCF"/>
    <w:rsid w:val="00BA63CF"/>
    <w:rsid w:val="00BA714C"/>
    <w:rsid w:val="00BA72B1"/>
    <w:rsid w:val="00BA7DC0"/>
    <w:rsid w:val="00BA7DFB"/>
    <w:rsid w:val="00BA7EA7"/>
    <w:rsid w:val="00BB0D2B"/>
    <w:rsid w:val="00BB1F54"/>
    <w:rsid w:val="00BB23E7"/>
    <w:rsid w:val="00BB28FE"/>
    <w:rsid w:val="00BB3BBC"/>
    <w:rsid w:val="00BB3C65"/>
    <w:rsid w:val="00BB47D6"/>
    <w:rsid w:val="00BB4BB2"/>
    <w:rsid w:val="00BC0290"/>
    <w:rsid w:val="00BC1675"/>
    <w:rsid w:val="00BC1AA8"/>
    <w:rsid w:val="00BC1F59"/>
    <w:rsid w:val="00BC2F5D"/>
    <w:rsid w:val="00BC3558"/>
    <w:rsid w:val="00BC41DA"/>
    <w:rsid w:val="00BC427A"/>
    <w:rsid w:val="00BC4D62"/>
    <w:rsid w:val="00BC53BD"/>
    <w:rsid w:val="00BC5673"/>
    <w:rsid w:val="00BC5D13"/>
    <w:rsid w:val="00BC62BA"/>
    <w:rsid w:val="00BC6D48"/>
    <w:rsid w:val="00BC6E6A"/>
    <w:rsid w:val="00BC7770"/>
    <w:rsid w:val="00BC7C39"/>
    <w:rsid w:val="00BD0284"/>
    <w:rsid w:val="00BD0705"/>
    <w:rsid w:val="00BD140E"/>
    <w:rsid w:val="00BD170A"/>
    <w:rsid w:val="00BD1F1D"/>
    <w:rsid w:val="00BD2328"/>
    <w:rsid w:val="00BD23C9"/>
    <w:rsid w:val="00BD275A"/>
    <w:rsid w:val="00BD2D08"/>
    <w:rsid w:val="00BD2DA1"/>
    <w:rsid w:val="00BD4497"/>
    <w:rsid w:val="00BD46C6"/>
    <w:rsid w:val="00BD4F67"/>
    <w:rsid w:val="00BD5B10"/>
    <w:rsid w:val="00BD5EF7"/>
    <w:rsid w:val="00BD62C1"/>
    <w:rsid w:val="00BD6D58"/>
    <w:rsid w:val="00BD6F03"/>
    <w:rsid w:val="00BD713D"/>
    <w:rsid w:val="00BD79F2"/>
    <w:rsid w:val="00BE052F"/>
    <w:rsid w:val="00BE0F84"/>
    <w:rsid w:val="00BE1B70"/>
    <w:rsid w:val="00BE269D"/>
    <w:rsid w:val="00BE26EE"/>
    <w:rsid w:val="00BE2C7E"/>
    <w:rsid w:val="00BE3EBD"/>
    <w:rsid w:val="00BE4D50"/>
    <w:rsid w:val="00BE5580"/>
    <w:rsid w:val="00BE563A"/>
    <w:rsid w:val="00BE5779"/>
    <w:rsid w:val="00BE5DA1"/>
    <w:rsid w:val="00BE624F"/>
    <w:rsid w:val="00BE681E"/>
    <w:rsid w:val="00BE780B"/>
    <w:rsid w:val="00BF011D"/>
    <w:rsid w:val="00BF0995"/>
    <w:rsid w:val="00BF0E04"/>
    <w:rsid w:val="00BF0F38"/>
    <w:rsid w:val="00BF14F4"/>
    <w:rsid w:val="00BF15FE"/>
    <w:rsid w:val="00BF167B"/>
    <w:rsid w:val="00BF1D74"/>
    <w:rsid w:val="00BF1FA7"/>
    <w:rsid w:val="00BF234A"/>
    <w:rsid w:val="00BF28A9"/>
    <w:rsid w:val="00BF2C8B"/>
    <w:rsid w:val="00BF332E"/>
    <w:rsid w:val="00BF3780"/>
    <w:rsid w:val="00BF3E41"/>
    <w:rsid w:val="00BF4F07"/>
    <w:rsid w:val="00BF4F5B"/>
    <w:rsid w:val="00BF54EF"/>
    <w:rsid w:val="00BF6A79"/>
    <w:rsid w:val="00BF7AFA"/>
    <w:rsid w:val="00C00A53"/>
    <w:rsid w:val="00C00EC9"/>
    <w:rsid w:val="00C013B4"/>
    <w:rsid w:val="00C016BD"/>
    <w:rsid w:val="00C01B45"/>
    <w:rsid w:val="00C02059"/>
    <w:rsid w:val="00C0250F"/>
    <w:rsid w:val="00C02639"/>
    <w:rsid w:val="00C02A7D"/>
    <w:rsid w:val="00C03391"/>
    <w:rsid w:val="00C03798"/>
    <w:rsid w:val="00C046B1"/>
    <w:rsid w:val="00C049EB"/>
    <w:rsid w:val="00C0692C"/>
    <w:rsid w:val="00C070B3"/>
    <w:rsid w:val="00C077F1"/>
    <w:rsid w:val="00C07A30"/>
    <w:rsid w:val="00C07FB5"/>
    <w:rsid w:val="00C1044F"/>
    <w:rsid w:val="00C10A05"/>
    <w:rsid w:val="00C10BA4"/>
    <w:rsid w:val="00C10C88"/>
    <w:rsid w:val="00C10FFA"/>
    <w:rsid w:val="00C12E9C"/>
    <w:rsid w:val="00C12EDB"/>
    <w:rsid w:val="00C13086"/>
    <w:rsid w:val="00C142AB"/>
    <w:rsid w:val="00C145FF"/>
    <w:rsid w:val="00C15694"/>
    <w:rsid w:val="00C166F9"/>
    <w:rsid w:val="00C17097"/>
    <w:rsid w:val="00C179F7"/>
    <w:rsid w:val="00C17A37"/>
    <w:rsid w:val="00C200F7"/>
    <w:rsid w:val="00C206EB"/>
    <w:rsid w:val="00C209DF"/>
    <w:rsid w:val="00C21058"/>
    <w:rsid w:val="00C21104"/>
    <w:rsid w:val="00C217BA"/>
    <w:rsid w:val="00C21ABF"/>
    <w:rsid w:val="00C22942"/>
    <w:rsid w:val="00C229EC"/>
    <w:rsid w:val="00C22F96"/>
    <w:rsid w:val="00C24190"/>
    <w:rsid w:val="00C24351"/>
    <w:rsid w:val="00C247BD"/>
    <w:rsid w:val="00C25E2E"/>
    <w:rsid w:val="00C25F02"/>
    <w:rsid w:val="00C268CF"/>
    <w:rsid w:val="00C26D09"/>
    <w:rsid w:val="00C273DE"/>
    <w:rsid w:val="00C2764E"/>
    <w:rsid w:val="00C305AE"/>
    <w:rsid w:val="00C307A8"/>
    <w:rsid w:val="00C30E83"/>
    <w:rsid w:val="00C31267"/>
    <w:rsid w:val="00C33130"/>
    <w:rsid w:val="00C334F9"/>
    <w:rsid w:val="00C3468B"/>
    <w:rsid w:val="00C34A2C"/>
    <w:rsid w:val="00C359BC"/>
    <w:rsid w:val="00C35BF2"/>
    <w:rsid w:val="00C35F99"/>
    <w:rsid w:val="00C3622D"/>
    <w:rsid w:val="00C37044"/>
    <w:rsid w:val="00C3731B"/>
    <w:rsid w:val="00C374B5"/>
    <w:rsid w:val="00C374C9"/>
    <w:rsid w:val="00C37D45"/>
    <w:rsid w:val="00C4008D"/>
    <w:rsid w:val="00C40D94"/>
    <w:rsid w:val="00C411BC"/>
    <w:rsid w:val="00C427E9"/>
    <w:rsid w:val="00C429E3"/>
    <w:rsid w:val="00C42A4D"/>
    <w:rsid w:val="00C42BDE"/>
    <w:rsid w:val="00C43707"/>
    <w:rsid w:val="00C43C9E"/>
    <w:rsid w:val="00C46F57"/>
    <w:rsid w:val="00C476FD"/>
    <w:rsid w:val="00C50A28"/>
    <w:rsid w:val="00C51B7C"/>
    <w:rsid w:val="00C51C29"/>
    <w:rsid w:val="00C52025"/>
    <w:rsid w:val="00C52A81"/>
    <w:rsid w:val="00C53EFD"/>
    <w:rsid w:val="00C5433E"/>
    <w:rsid w:val="00C54C3D"/>
    <w:rsid w:val="00C54D83"/>
    <w:rsid w:val="00C55103"/>
    <w:rsid w:val="00C553B5"/>
    <w:rsid w:val="00C55D5C"/>
    <w:rsid w:val="00C60540"/>
    <w:rsid w:val="00C60EE9"/>
    <w:rsid w:val="00C62F85"/>
    <w:rsid w:val="00C63C71"/>
    <w:rsid w:val="00C6435B"/>
    <w:rsid w:val="00C64827"/>
    <w:rsid w:val="00C649B2"/>
    <w:rsid w:val="00C65179"/>
    <w:rsid w:val="00C65929"/>
    <w:rsid w:val="00C67138"/>
    <w:rsid w:val="00C671B3"/>
    <w:rsid w:val="00C67698"/>
    <w:rsid w:val="00C701B3"/>
    <w:rsid w:val="00C706A5"/>
    <w:rsid w:val="00C70A4B"/>
    <w:rsid w:val="00C70D15"/>
    <w:rsid w:val="00C71138"/>
    <w:rsid w:val="00C714B3"/>
    <w:rsid w:val="00C72080"/>
    <w:rsid w:val="00C72318"/>
    <w:rsid w:val="00C72E31"/>
    <w:rsid w:val="00C73AF1"/>
    <w:rsid w:val="00C73C35"/>
    <w:rsid w:val="00C744C3"/>
    <w:rsid w:val="00C7475A"/>
    <w:rsid w:val="00C7506F"/>
    <w:rsid w:val="00C76249"/>
    <w:rsid w:val="00C77FF2"/>
    <w:rsid w:val="00C80E65"/>
    <w:rsid w:val="00C814E3"/>
    <w:rsid w:val="00C823BD"/>
    <w:rsid w:val="00C82FA2"/>
    <w:rsid w:val="00C85227"/>
    <w:rsid w:val="00C85D85"/>
    <w:rsid w:val="00C85F79"/>
    <w:rsid w:val="00C872A0"/>
    <w:rsid w:val="00C87EFC"/>
    <w:rsid w:val="00C900C9"/>
    <w:rsid w:val="00C91677"/>
    <w:rsid w:val="00C91CD1"/>
    <w:rsid w:val="00C929CE"/>
    <w:rsid w:val="00C93527"/>
    <w:rsid w:val="00C93EAA"/>
    <w:rsid w:val="00C93FD8"/>
    <w:rsid w:val="00C94453"/>
    <w:rsid w:val="00C94A80"/>
    <w:rsid w:val="00C94E38"/>
    <w:rsid w:val="00C94F63"/>
    <w:rsid w:val="00C95A6B"/>
    <w:rsid w:val="00C95C1F"/>
    <w:rsid w:val="00C968CC"/>
    <w:rsid w:val="00C96A63"/>
    <w:rsid w:val="00C96AEA"/>
    <w:rsid w:val="00C96B1D"/>
    <w:rsid w:val="00C976F1"/>
    <w:rsid w:val="00C97B9F"/>
    <w:rsid w:val="00CA3DFA"/>
    <w:rsid w:val="00CA482A"/>
    <w:rsid w:val="00CA49CC"/>
    <w:rsid w:val="00CA51B4"/>
    <w:rsid w:val="00CA5870"/>
    <w:rsid w:val="00CA6364"/>
    <w:rsid w:val="00CA6989"/>
    <w:rsid w:val="00CA6DED"/>
    <w:rsid w:val="00CA6F5A"/>
    <w:rsid w:val="00CA6F70"/>
    <w:rsid w:val="00CA71DA"/>
    <w:rsid w:val="00CA7EF6"/>
    <w:rsid w:val="00CB00C5"/>
    <w:rsid w:val="00CB07BB"/>
    <w:rsid w:val="00CB09C6"/>
    <w:rsid w:val="00CB1696"/>
    <w:rsid w:val="00CB2019"/>
    <w:rsid w:val="00CB2C1A"/>
    <w:rsid w:val="00CB3616"/>
    <w:rsid w:val="00CB3C08"/>
    <w:rsid w:val="00CB3CA9"/>
    <w:rsid w:val="00CB45B8"/>
    <w:rsid w:val="00CB53F3"/>
    <w:rsid w:val="00CB592A"/>
    <w:rsid w:val="00CB5DC1"/>
    <w:rsid w:val="00CB6356"/>
    <w:rsid w:val="00CB6AA0"/>
    <w:rsid w:val="00CB76EA"/>
    <w:rsid w:val="00CB773A"/>
    <w:rsid w:val="00CB7864"/>
    <w:rsid w:val="00CB7BC2"/>
    <w:rsid w:val="00CC30D7"/>
    <w:rsid w:val="00CC3DB6"/>
    <w:rsid w:val="00CC4490"/>
    <w:rsid w:val="00CC555C"/>
    <w:rsid w:val="00CC5917"/>
    <w:rsid w:val="00CC616C"/>
    <w:rsid w:val="00CC628E"/>
    <w:rsid w:val="00CC665B"/>
    <w:rsid w:val="00CC6785"/>
    <w:rsid w:val="00CC68C5"/>
    <w:rsid w:val="00CC77E4"/>
    <w:rsid w:val="00CC7D03"/>
    <w:rsid w:val="00CD00FA"/>
    <w:rsid w:val="00CD1559"/>
    <w:rsid w:val="00CD17E9"/>
    <w:rsid w:val="00CD1E97"/>
    <w:rsid w:val="00CD1F91"/>
    <w:rsid w:val="00CD259B"/>
    <w:rsid w:val="00CD2800"/>
    <w:rsid w:val="00CD3A9A"/>
    <w:rsid w:val="00CD3C0D"/>
    <w:rsid w:val="00CD4181"/>
    <w:rsid w:val="00CD4585"/>
    <w:rsid w:val="00CD5F53"/>
    <w:rsid w:val="00CD7B38"/>
    <w:rsid w:val="00CE003E"/>
    <w:rsid w:val="00CE05B0"/>
    <w:rsid w:val="00CE0A3F"/>
    <w:rsid w:val="00CE24DD"/>
    <w:rsid w:val="00CE25B4"/>
    <w:rsid w:val="00CE27F5"/>
    <w:rsid w:val="00CE2B11"/>
    <w:rsid w:val="00CE2D73"/>
    <w:rsid w:val="00CE3AEF"/>
    <w:rsid w:val="00CE42FB"/>
    <w:rsid w:val="00CE443B"/>
    <w:rsid w:val="00CE4D13"/>
    <w:rsid w:val="00CE5396"/>
    <w:rsid w:val="00CE555C"/>
    <w:rsid w:val="00CE6C38"/>
    <w:rsid w:val="00CE7872"/>
    <w:rsid w:val="00CF0017"/>
    <w:rsid w:val="00CF0163"/>
    <w:rsid w:val="00CF085E"/>
    <w:rsid w:val="00CF09A5"/>
    <w:rsid w:val="00CF10DF"/>
    <w:rsid w:val="00CF2D3B"/>
    <w:rsid w:val="00CF3082"/>
    <w:rsid w:val="00CF3268"/>
    <w:rsid w:val="00CF3541"/>
    <w:rsid w:val="00CF38B5"/>
    <w:rsid w:val="00CF489B"/>
    <w:rsid w:val="00CF490A"/>
    <w:rsid w:val="00CF5E47"/>
    <w:rsid w:val="00CF6BB4"/>
    <w:rsid w:val="00CF6E6C"/>
    <w:rsid w:val="00CF6E70"/>
    <w:rsid w:val="00CF7444"/>
    <w:rsid w:val="00CF7B93"/>
    <w:rsid w:val="00D002B7"/>
    <w:rsid w:val="00D00FB0"/>
    <w:rsid w:val="00D02970"/>
    <w:rsid w:val="00D035C0"/>
    <w:rsid w:val="00D039D9"/>
    <w:rsid w:val="00D039E6"/>
    <w:rsid w:val="00D03E2E"/>
    <w:rsid w:val="00D04545"/>
    <w:rsid w:val="00D04DAB"/>
    <w:rsid w:val="00D05034"/>
    <w:rsid w:val="00D05527"/>
    <w:rsid w:val="00D05A1E"/>
    <w:rsid w:val="00D05E8E"/>
    <w:rsid w:val="00D063DF"/>
    <w:rsid w:val="00D0784E"/>
    <w:rsid w:val="00D1034E"/>
    <w:rsid w:val="00D1059C"/>
    <w:rsid w:val="00D106D7"/>
    <w:rsid w:val="00D10EF1"/>
    <w:rsid w:val="00D1103E"/>
    <w:rsid w:val="00D1110F"/>
    <w:rsid w:val="00D113DE"/>
    <w:rsid w:val="00D11897"/>
    <w:rsid w:val="00D11FA6"/>
    <w:rsid w:val="00D12F92"/>
    <w:rsid w:val="00D13322"/>
    <w:rsid w:val="00D138F5"/>
    <w:rsid w:val="00D139C9"/>
    <w:rsid w:val="00D13A57"/>
    <w:rsid w:val="00D13B8F"/>
    <w:rsid w:val="00D13E89"/>
    <w:rsid w:val="00D141C7"/>
    <w:rsid w:val="00D148C8"/>
    <w:rsid w:val="00D15374"/>
    <w:rsid w:val="00D16D05"/>
    <w:rsid w:val="00D16EF0"/>
    <w:rsid w:val="00D16EF9"/>
    <w:rsid w:val="00D17130"/>
    <w:rsid w:val="00D17758"/>
    <w:rsid w:val="00D17965"/>
    <w:rsid w:val="00D20556"/>
    <w:rsid w:val="00D21428"/>
    <w:rsid w:val="00D21783"/>
    <w:rsid w:val="00D2225D"/>
    <w:rsid w:val="00D22459"/>
    <w:rsid w:val="00D22485"/>
    <w:rsid w:val="00D22CE6"/>
    <w:rsid w:val="00D2326A"/>
    <w:rsid w:val="00D23E6D"/>
    <w:rsid w:val="00D23F6C"/>
    <w:rsid w:val="00D243B7"/>
    <w:rsid w:val="00D24C8C"/>
    <w:rsid w:val="00D25B22"/>
    <w:rsid w:val="00D268A1"/>
    <w:rsid w:val="00D26D39"/>
    <w:rsid w:val="00D30078"/>
    <w:rsid w:val="00D30207"/>
    <w:rsid w:val="00D302B4"/>
    <w:rsid w:val="00D31513"/>
    <w:rsid w:val="00D31987"/>
    <w:rsid w:val="00D319FE"/>
    <w:rsid w:val="00D323D1"/>
    <w:rsid w:val="00D326DA"/>
    <w:rsid w:val="00D33B2C"/>
    <w:rsid w:val="00D33BC0"/>
    <w:rsid w:val="00D33DDC"/>
    <w:rsid w:val="00D3402F"/>
    <w:rsid w:val="00D34415"/>
    <w:rsid w:val="00D3592B"/>
    <w:rsid w:val="00D35989"/>
    <w:rsid w:val="00D35B9B"/>
    <w:rsid w:val="00D35EAD"/>
    <w:rsid w:val="00D37DFB"/>
    <w:rsid w:val="00D40078"/>
    <w:rsid w:val="00D4022D"/>
    <w:rsid w:val="00D414F5"/>
    <w:rsid w:val="00D41CA0"/>
    <w:rsid w:val="00D41F51"/>
    <w:rsid w:val="00D42E22"/>
    <w:rsid w:val="00D43872"/>
    <w:rsid w:val="00D454E7"/>
    <w:rsid w:val="00D45527"/>
    <w:rsid w:val="00D46097"/>
    <w:rsid w:val="00D46521"/>
    <w:rsid w:val="00D47E28"/>
    <w:rsid w:val="00D517D0"/>
    <w:rsid w:val="00D523EB"/>
    <w:rsid w:val="00D52D57"/>
    <w:rsid w:val="00D53275"/>
    <w:rsid w:val="00D54358"/>
    <w:rsid w:val="00D54562"/>
    <w:rsid w:val="00D548B4"/>
    <w:rsid w:val="00D54F04"/>
    <w:rsid w:val="00D5512F"/>
    <w:rsid w:val="00D553C6"/>
    <w:rsid w:val="00D554E1"/>
    <w:rsid w:val="00D55501"/>
    <w:rsid w:val="00D5577E"/>
    <w:rsid w:val="00D55F1F"/>
    <w:rsid w:val="00D5614A"/>
    <w:rsid w:val="00D563AD"/>
    <w:rsid w:val="00D564E9"/>
    <w:rsid w:val="00D5679E"/>
    <w:rsid w:val="00D567AA"/>
    <w:rsid w:val="00D56FFA"/>
    <w:rsid w:val="00D57F34"/>
    <w:rsid w:val="00D604DA"/>
    <w:rsid w:val="00D61E66"/>
    <w:rsid w:val="00D61F21"/>
    <w:rsid w:val="00D62952"/>
    <w:rsid w:val="00D62B1A"/>
    <w:rsid w:val="00D6316F"/>
    <w:rsid w:val="00D63E9A"/>
    <w:rsid w:val="00D641F8"/>
    <w:rsid w:val="00D64A9F"/>
    <w:rsid w:val="00D66AE3"/>
    <w:rsid w:val="00D67390"/>
    <w:rsid w:val="00D673AA"/>
    <w:rsid w:val="00D70BAF"/>
    <w:rsid w:val="00D713A0"/>
    <w:rsid w:val="00D7152A"/>
    <w:rsid w:val="00D720AD"/>
    <w:rsid w:val="00D7233D"/>
    <w:rsid w:val="00D724DC"/>
    <w:rsid w:val="00D72738"/>
    <w:rsid w:val="00D72CF7"/>
    <w:rsid w:val="00D741FC"/>
    <w:rsid w:val="00D7524D"/>
    <w:rsid w:val="00D75C4F"/>
    <w:rsid w:val="00D7636E"/>
    <w:rsid w:val="00D768F3"/>
    <w:rsid w:val="00D76CA5"/>
    <w:rsid w:val="00D76ED3"/>
    <w:rsid w:val="00D77DC1"/>
    <w:rsid w:val="00D77E85"/>
    <w:rsid w:val="00D77F27"/>
    <w:rsid w:val="00D80A2B"/>
    <w:rsid w:val="00D80D6A"/>
    <w:rsid w:val="00D81170"/>
    <w:rsid w:val="00D81D1D"/>
    <w:rsid w:val="00D83DDB"/>
    <w:rsid w:val="00D84084"/>
    <w:rsid w:val="00D8421B"/>
    <w:rsid w:val="00D84AA2"/>
    <w:rsid w:val="00D84BF3"/>
    <w:rsid w:val="00D85054"/>
    <w:rsid w:val="00D851B0"/>
    <w:rsid w:val="00D85FE2"/>
    <w:rsid w:val="00D90594"/>
    <w:rsid w:val="00D90AA2"/>
    <w:rsid w:val="00D90C0D"/>
    <w:rsid w:val="00D91048"/>
    <w:rsid w:val="00D9112C"/>
    <w:rsid w:val="00D92B4D"/>
    <w:rsid w:val="00D93334"/>
    <w:rsid w:val="00D93A63"/>
    <w:rsid w:val="00D93D3C"/>
    <w:rsid w:val="00D93D73"/>
    <w:rsid w:val="00D93EB1"/>
    <w:rsid w:val="00D9452B"/>
    <w:rsid w:val="00D94ADC"/>
    <w:rsid w:val="00D96AB7"/>
    <w:rsid w:val="00D9730C"/>
    <w:rsid w:val="00D977C8"/>
    <w:rsid w:val="00DA00B8"/>
    <w:rsid w:val="00DA15A2"/>
    <w:rsid w:val="00DA1780"/>
    <w:rsid w:val="00DA244B"/>
    <w:rsid w:val="00DA3198"/>
    <w:rsid w:val="00DA380F"/>
    <w:rsid w:val="00DA3867"/>
    <w:rsid w:val="00DA3E9A"/>
    <w:rsid w:val="00DA4DBD"/>
    <w:rsid w:val="00DA60E1"/>
    <w:rsid w:val="00DA65F6"/>
    <w:rsid w:val="00DA6C7F"/>
    <w:rsid w:val="00DA6F31"/>
    <w:rsid w:val="00DA706E"/>
    <w:rsid w:val="00DA7137"/>
    <w:rsid w:val="00DA786A"/>
    <w:rsid w:val="00DA7D1B"/>
    <w:rsid w:val="00DB03ED"/>
    <w:rsid w:val="00DB06E9"/>
    <w:rsid w:val="00DB0E7C"/>
    <w:rsid w:val="00DB181D"/>
    <w:rsid w:val="00DB1B17"/>
    <w:rsid w:val="00DB1EDB"/>
    <w:rsid w:val="00DB210F"/>
    <w:rsid w:val="00DB220A"/>
    <w:rsid w:val="00DB2DBE"/>
    <w:rsid w:val="00DB32DE"/>
    <w:rsid w:val="00DB49B6"/>
    <w:rsid w:val="00DB5B40"/>
    <w:rsid w:val="00DB6DA6"/>
    <w:rsid w:val="00DC055B"/>
    <w:rsid w:val="00DC1302"/>
    <w:rsid w:val="00DC13E1"/>
    <w:rsid w:val="00DC1E47"/>
    <w:rsid w:val="00DC2397"/>
    <w:rsid w:val="00DC2BEF"/>
    <w:rsid w:val="00DC304F"/>
    <w:rsid w:val="00DC3545"/>
    <w:rsid w:val="00DC364B"/>
    <w:rsid w:val="00DC4B35"/>
    <w:rsid w:val="00DC4FBE"/>
    <w:rsid w:val="00DC5836"/>
    <w:rsid w:val="00DC5A31"/>
    <w:rsid w:val="00DC676B"/>
    <w:rsid w:val="00DD2026"/>
    <w:rsid w:val="00DD2648"/>
    <w:rsid w:val="00DD267B"/>
    <w:rsid w:val="00DD2A1E"/>
    <w:rsid w:val="00DD2A77"/>
    <w:rsid w:val="00DD5AD6"/>
    <w:rsid w:val="00DD6FD9"/>
    <w:rsid w:val="00DD79E3"/>
    <w:rsid w:val="00DE048F"/>
    <w:rsid w:val="00DE1206"/>
    <w:rsid w:val="00DE215D"/>
    <w:rsid w:val="00DE3C99"/>
    <w:rsid w:val="00DE4509"/>
    <w:rsid w:val="00DE491D"/>
    <w:rsid w:val="00DE552A"/>
    <w:rsid w:val="00DE58D7"/>
    <w:rsid w:val="00DE5A78"/>
    <w:rsid w:val="00DE5D94"/>
    <w:rsid w:val="00DE7FFC"/>
    <w:rsid w:val="00DF0119"/>
    <w:rsid w:val="00DF0528"/>
    <w:rsid w:val="00DF171F"/>
    <w:rsid w:val="00DF17F9"/>
    <w:rsid w:val="00DF1AB3"/>
    <w:rsid w:val="00DF1AB5"/>
    <w:rsid w:val="00DF221E"/>
    <w:rsid w:val="00DF2CD3"/>
    <w:rsid w:val="00DF369E"/>
    <w:rsid w:val="00DF62C2"/>
    <w:rsid w:val="00DF62E2"/>
    <w:rsid w:val="00DF7BAF"/>
    <w:rsid w:val="00E0008D"/>
    <w:rsid w:val="00E001C4"/>
    <w:rsid w:val="00E009EE"/>
    <w:rsid w:val="00E00A82"/>
    <w:rsid w:val="00E00CDF"/>
    <w:rsid w:val="00E0120D"/>
    <w:rsid w:val="00E01521"/>
    <w:rsid w:val="00E016C4"/>
    <w:rsid w:val="00E01FA1"/>
    <w:rsid w:val="00E0246A"/>
    <w:rsid w:val="00E02A34"/>
    <w:rsid w:val="00E02D6C"/>
    <w:rsid w:val="00E0305C"/>
    <w:rsid w:val="00E030B1"/>
    <w:rsid w:val="00E03768"/>
    <w:rsid w:val="00E03B67"/>
    <w:rsid w:val="00E040F3"/>
    <w:rsid w:val="00E0420B"/>
    <w:rsid w:val="00E042F5"/>
    <w:rsid w:val="00E04B1F"/>
    <w:rsid w:val="00E061AE"/>
    <w:rsid w:val="00E07170"/>
    <w:rsid w:val="00E0719F"/>
    <w:rsid w:val="00E07465"/>
    <w:rsid w:val="00E07518"/>
    <w:rsid w:val="00E10FE2"/>
    <w:rsid w:val="00E1107E"/>
    <w:rsid w:val="00E11853"/>
    <w:rsid w:val="00E11BB7"/>
    <w:rsid w:val="00E11D10"/>
    <w:rsid w:val="00E11EBD"/>
    <w:rsid w:val="00E13405"/>
    <w:rsid w:val="00E1447C"/>
    <w:rsid w:val="00E1484A"/>
    <w:rsid w:val="00E14C9D"/>
    <w:rsid w:val="00E14DE9"/>
    <w:rsid w:val="00E1512A"/>
    <w:rsid w:val="00E159E6"/>
    <w:rsid w:val="00E163A1"/>
    <w:rsid w:val="00E16B60"/>
    <w:rsid w:val="00E16DF8"/>
    <w:rsid w:val="00E16EEC"/>
    <w:rsid w:val="00E1715A"/>
    <w:rsid w:val="00E1782F"/>
    <w:rsid w:val="00E1790A"/>
    <w:rsid w:val="00E204D1"/>
    <w:rsid w:val="00E2206C"/>
    <w:rsid w:val="00E22192"/>
    <w:rsid w:val="00E2224C"/>
    <w:rsid w:val="00E2269E"/>
    <w:rsid w:val="00E234D4"/>
    <w:rsid w:val="00E23C5E"/>
    <w:rsid w:val="00E25030"/>
    <w:rsid w:val="00E265E4"/>
    <w:rsid w:val="00E27CA7"/>
    <w:rsid w:val="00E27EA5"/>
    <w:rsid w:val="00E3029E"/>
    <w:rsid w:val="00E30F1C"/>
    <w:rsid w:val="00E31407"/>
    <w:rsid w:val="00E31BAB"/>
    <w:rsid w:val="00E31E48"/>
    <w:rsid w:val="00E32127"/>
    <w:rsid w:val="00E3351C"/>
    <w:rsid w:val="00E33A89"/>
    <w:rsid w:val="00E3427F"/>
    <w:rsid w:val="00E34506"/>
    <w:rsid w:val="00E345E9"/>
    <w:rsid w:val="00E36F48"/>
    <w:rsid w:val="00E402B8"/>
    <w:rsid w:val="00E40EFD"/>
    <w:rsid w:val="00E41784"/>
    <w:rsid w:val="00E41794"/>
    <w:rsid w:val="00E41801"/>
    <w:rsid w:val="00E41992"/>
    <w:rsid w:val="00E41E05"/>
    <w:rsid w:val="00E41E0C"/>
    <w:rsid w:val="00E42A8D"/>
    <w:rsid w:val="00E4386C"/>
    <w:rsid w:val="00E44128"/>
    <w:rsid w:val="00E442A1"/>
    <w:rsid w:val="00E443E4"/>
    <w:rsid w:val="00E44723"/>
    <w:rsid w:val="00E45315"/>
    <w:rsid w:val="00E45773"/>
    <w:rsid w:val="00E461FA"/>
    <w:rsid w:val="00E46677"/>
    <w:rsid w:val="00E477A6"/>
    <w:rsid w:val="00E47D6F"/>
    <w:rsid w:val="00E50D58"/>
    <w:rsid w:val="00E5131F"/>
    <w:rsid w:val="00E5224B"/>
    <w:rsid w:val="00E522A7"/>
    <w:rsid w:val="00E531E7"/>
    <w:rsid w:val="00E53AD3"/>
    <w:rsid w:val="00E543BB"/>
    <w:rsid w:val="00E548A2"/>
    <w:rsid w:val="00E555EA"/>
    <w:rsid w:val="00E556A6"/>
    <w:rsid w:val="00E55C95"/>
    <w:rsid w:val="00E55FB3"/>
    <w:rsid w:val="00E56009"/>
    <w:rsid w:val="00E56675"/>
    <w:rsid w:val="00E571CC"/>
    <w:rsid w:val="00E57400"/>
    <w:rsid w:val="00E60F25"/>
    <w:rsid w:val="00E619E4"/>
    <w:rsid w:val="00E61B27"/>
    <w:rsid w:val="00E627F6"/>
    <w:rsid w:val="00E62E41"/>
    <w:rsid w:val="00E638BD"/>
    <w:rsid w:val="00E640FA"/>
    <w:rsid w:val="00E6452D"/>
    <w:rsid w:val="00E6458A"/>
    <w:rsid w:val="00E66872"/>
    <w:rsid w:val="00E67510"/>
    <w:rsid w:val="00E67EE4"/>
    <w:rsid w:val="00E7052B"/>
    <w:rsid w:val="00E707EF"/>
    <w:rsid w:val="00E709DF"/>
    <w:rsid w:val="00E70D2A"/>
    <w:rsid w:val="00E70FF3"/>
    <w:rsid w:val="00E7109F"/>
    <w:rsid w:val="00E71175"/>
    <w:rsid w:val="00E7128A"/>
    <w:rsid w:val="00E729D8"/>
    <w:rsid w:val="00E72FB5"/>
    <w:rsid w:val="00E73938"/>
    <w:rsid w:val="00E74131"/>
    <w:rsid w:val="00E74794"/>
    <w:rsid w:val="00E748EB"/>
    <w:rsid w:val="00E74ABD"/>
    <w:rsid w:val="00E74ADC"/>
    <w:rsid w:val="00E74D5A"/>
    <w:rsid w:val="00E75627"/>
    <w:rsid w:val="00E7611D"/>
    <w:rsid w:val="00E7678D"/>
    <w:rsid w:val="00E772C0"/>
    <w:rsid w:val="00E81D69"/>
    <w:rsid w:val="00E8457A"/>
    <w:rsid w:val="00E85462"/>
    <w:rsid w:val="00E85929"/>
    <w:rsid w:val="00E865C9"/>
    <w:rsid w:val="00E8680D"/>
    <w:rsid w:val="00E870DB"/>
    <w:rsid w:val="00E87A30"/>
    <w:rsid w:val="00E87D24"/>
    <w:rsid w:val="00E905BD"/>
    <w:rsid w:val="00E9062C"/>
    <w:rsid w:val="00E90BFC"/>
    <w:rsid w:val="00E91699"/>
    <w:rsid w:val="00E916F1"/>
    <w:rsid w:val="00E92BE9"/>
    <w:rsid w:val="00E92D0F"/>
    <w:rsid w:val="00E92F9F"/>
    <w:rsid w:val="00E9347F"/>
    <w:rsid w:val="00E94716"/>
    <w:rsid w:val="00E9473C"/>
    <w:rsid w:val="00E94AC2"/>
    <w:rsid w:val="00E94CCB"/>
    <w:rsid w:val="00E95525"/>
    <w:rsid w:val="00E959B3"/>
    <w:rsid w:val="00E959E8"/>
    <w:rsid w:val="00E96060"/>
    <w:rsid w:val="00E96427"/>
    <w:rsid w:val="00E96E14"/>
    <w:rsid w:val="00E9702D"/>
    <w:rsid w:val="00E974FA"/>
    <w:rsid w:val="00E97A41"/>
    <w:rsid w:val="00EA0137"/>
    <w:rsid w:val="00EA1D6D"/>
    <w:rsid w:val="00EA1EEC"/>
    <w:rsid w:val="00EA2018"/>
    <w:rsid w:val="00EA205A"/>
    <w:rsid w:val="00EA3083"/>
    <w:rsid w:val="00EA3419"/>
    <w:rsid w:val="00EA3825"/>
    <w:rsid w:val="00EA3C3C"/>
    <w:rsid w:val="00EA4C22"/>
    <w:rsid w:val="00EA5580"/>
    <w:rsid w:val="00EA57D0"/>
    <w:rsid w:val="00EA7737"/>
    <w:rsid w:val="00EA79FB"/>
    <w:rsid w:val="00EB0609"/>
    <w:rsid w:val="00EB078A"/>
    <w:rsid w:val="00EB0D9D"/>
    <w:rsid w:val="00EB1F10"/>
    <w:rsid w:val="00EB284E"/>
    <w:rsid w:val="00EB2A0A"/>
    <w:rsid w:val="00EB2DD9"/>
    <w:rsid w:val="00EB2F99"/>
    <w:rsid w:val="00EB2FF9"/>
    <w:rsid w:val="00EB35F3"/>
    <w:rsid w:val="00EB3FFD"/>
    <w:rsid w:val="00EB409B"/>
    <w:rsid w:val="00EB41C4"/>
    <w:rsid w:val="00EB4313"/>
    <w:rsid w:val="00EB5488"/>
    <w:rsid w:val="00EB54B3"/>
    <w:rsid w:val="00EB5745"/>
    <w:rsid w:val="00EB5E7C"/>
    <w:rsid w:val="00EB61C0"/>
    <w:rsid w:val="00EB676E"/>
    <w:rsid w:val="00EB68B6"/>
    <w:rsid w:val="00EB6BE8"/>
    <w:rsid w:val="00EB6C77"/>
    <w:rsid w:val="00EB7213"/>
    <w:rsid w:val="00EB752B"/>
    <w:rsid w:val="00EC04CA"/>
    <w:rsid w:val="00EC0C5E"/>
    <w:rsid w:val="00EC11F9"/>
    <w:rsid w:val="00EC1BE7"/>
    <w:rsid w:val="00EC1D43"/>
    <w:rsid w:val="00EC2700"/>
    <w:rsid w:val="00EC3105"/>
    <w:rsid w:val="00EC34C5"/>
    <w:rsid w:val="00EC42FA"/>
    <w:rsid w:val="00EC4A64"/>
    <w:rsid w:val="00EC539C"/>
    <w:rsid w:val="00EC5534"/>
    <w:rsid w:val="00EC578A"/>
    <w:rsid w:val="00EC6555"/>
    <w:rsid w:val="00EC6CF7"/>
    <w:rsid w:val="00EC6F5C"/>
    <w:rsid w:val="00EC7546"/>
    <w:rsid w:val="00EC75B2"/>
    <w:rsid w:val="00EC7956"/>
    <w:rsid w:val="00ED0791"/>
    <w:rsid w:val="00ED0ED5"/>
    <w:rsid w:val="00ED1517"/>
    <w:rsid w:val="00ED2747"/>
    <w:rsid w:val="00ED2CEA"/>
    <w:rsid w:val="00ED2D7A"/>
    <w:rsid w:val="00ED2D83"/>
    <w:rsid w:val="00ED3373"/>
    <w:rsid w:val="00ED602D"/>
    <w:rsid w:val="00ED6B8F"/>
    <w:rsid w:val="00ED6E53"/>
    <w:rsid w:val="00ED7023"/>
    <w:rsid w:val="00ED71A4"/>
    <w:rsid w:val="00EE0397"/>
    <w:rsid w:val="00EE0655"/>
    <w:rsid w:val="00EE0EB8"/>
    <w:rsid w:val="00EE1923"/>
    <w:rsid w:val="00EE3490"/>
    <w:rsid w:val="00EE43E3"/>
    <w:rsid w:val="00EE571A"/>
    <w:rsid w:val="00EE7131"/>
    <w:rsid w:val="00EE7955"/>
    <w:rsid w:val="00EF0475"/>
    <w:rsid w:val="00EF136E"/>
    <w:rsid w:val="00EF1E54"/>
    <w:rsid w:val="00EF24E6"/>
    <w:rsid w:val="00EF2C03"/>
    <w:rsid w:val="00EF2FA6"/>
    <w:rsid w:val="00EF2FFA"/>
    <w:rsid w:val="00EF3BCC"/>
    <w:rsid w:val="00EF4D2C"/>
    <w:rsid w:val="00EF59EE"/>
    <w:rsid w:val="00EF5A96"/>
    <w:rsid w:val="00EF7277"/>
    <w:rsid w:val="00EF772F"/>
    <w:rsid w:val="00F01210"/>
    <w:rsid w:val="00F017F1"/>
    <w:rsid w:val="00F02D27"/>
    <w:rsid w:val="00F04758"/>
    <w:rsid w:val="00F05015"/>
    <w:rsid w:val="00F061C4"/>
    <w:rsid w:val="00F06A6A"/>
    <w:rsid w:val="00F06B39"/>
    <w:rsid w:val="00F06D22"/>
    <w:rsid w:val="00F06F28"/>
    <w:rsid w:val="00F07166"/>
    <w:rsid w:val="00F078CD"/>
    <w:rsid w:val="00F07C41"/>
    <w:rsid w:val="00F1080E"/>
    <w:rsid w:val="00F10829"/>
    <w:rsid w:val="00F109BA"/>
    <w:rsid w:val="00F11462"/>
    <w:rsid w:val="00F119B5"/>
    <w:rsid w:val="00F12B69"/>
    <w:rsid w:val="00F1342A"/>
    <w:rsid w:val="00F16758"/>
    <w:rsid w:val="00F16893"/>
    <w:rsid w:val="00F16BDC"/>
    <w:rsid w:val="00F17B9D"/>
    <w:rsid w:val="00F201E7"/>
    <w:rsid w:val="00F20644"/>
    <w:rsid w:val="00F20E5B"/>
    <w:rsid w:val="00F21FD0"/>
    <w:rsid w:val="00F2296F"/>
    <w:rsid w:val="00F23039"/>
    <w:rsid w:val="00F24882"/>
    <w:rsid w:val="00F24E95"/>
    <w:rsid w:val="00F27A8A"/>
    <w:rsid w:val="00F27B9C"/>
    <w:rsid w:val="00F30A01"/>
    <w:rsid w:val="00F33CBB"/>
    <w:rsid w:val="00F34F90"/>
    <w:rsid w:val="00F35575"/>
    <w:rsid w:val="00F3570E"/>
    <w:rsid w:val="00F35C50"/>
    <w:rsid w:val="00F35DBC"/>
    <w:rsid w:val="00F3620D"/>
    <w:rsid w:val="00F3635D"/>
    <w:rsid w:val="00F372EB"/>
    <w:rsid w:val="00F37379"/>
    <w:rsid w:val="00F37422"/>
    <w:rsid w:val="00F37E61"/>
    <w:rsid w:val="00F406EF"/>
    <w:rsid w:val="00F409B1"/>
    <w:rsid w:val="00F40FCE"/>
    <w:rsid w:val="00F40FEE"/>
    <w:rsid w:val="00F41B9B"/>
    <w:rsid w:val="00F430E6"/>
    <w:rsid w:val="00F43C7B"/>
    <w:rsid w:val="00F44BD0"/>
    <w:rsid w:val="00F44CD1"/>
    <w:rsid w:val="00F4574D"/>
    <w:rsid w:val="00F45B53"/>
    <w:rsid w:val="00F45C72"/>
    <w:rsid w:val="00F45E1C"/>
    <w:rsid w:val="00F469DA"/>
    <w:rsid w:val="00F46B8D"/>
    <w:rsid w:val="00F47656"/>
    <w:rsid w:val="00F477FE"/>
    <w:rsid w:val="00F50003"/>
    <w:rsid w:val="00F50CB9"/>
    <w:rsid w:val="00F52F0C"/>
    <w:rsid w:val="00F53CD4"/>
    <w:rsid w:val="00F5423D"/>
    <w:rsid w:val="00F543E1"/>
    <w:rsid w:val="00F556FF"/>
    <w:rsid w:val="00F56124"/>
    <w:rsid w:val="00F566D3"/>
    <w:rsid w:val="00F5750F"/>
    <w:rsid w:val="00F57895"/>
    <w:rsid w:val="00F6021D"/>
    <w:rsid w:val="00F60885"/>
    <w:rsid w:val="00F60DDE"/>
    <w:rsid w:val="00F61D79"/>
    <w:rsid w:val="00F625E1"/>
    <w:rsid w:val="00F6278E"/>
    <w:rsid w:val="00F628B0"/>
    <w:rsid w:val="00F62B6E"/>
    <w:rsid w:val="00F62D83"/>
    <w:rsid w:val="00F63CD9"/>
    <w:rsid w:val="00F64A96"/>
    <w:rsid w:val="00F65398"/>
    <w:rsid w:val="00F654BE"/>
    <w:rsid w:val="00F656E6"/>
    <w:rsid w:val="00F65948"/>
    <w:rsid w:val="00F65FAF"/>
    <w:rsid w:val="00F66008"/>
    <w:rsid w:val="00F663A6"/>
    <w:rsid w:val="00F66680"/>
    <w:rsid w:val="00F66C28"/>
    <w:rsid w:val="00F66E42"/>
    <w:rsid w:val="00F671C6"/>
    <w:rsid w:val="00F6757F"/>
    <w:rsid w:val="00F70F2A"/>
    <w:rsid w:val="00F70FE5"/>
    <w:rsid w:val="00F71ED3"/>
    <w:rsid w:val="00F727CB"/>
    <w:rsid w:val="00F72E0B"/>
    <w:rsid w:val="00F733C9"/>
    <w:rsid w:val="00F749AF"/>
    <w:rsid w:val="00F752D4"/>
    <w:rsid w:val="00F766B2"/>
    <w:rsid w:val="00F76B9D"/>
    <w:rsid w:val="00F77135"/>
    <w:rsid w:val="00F771F1"/>
    <w:rsid w:val="00F80338"/>
    <w:rsid w:val="00F80F35"/>
    <w:rsid w:val="00F811D5"/>
    <w:rsid w:val="00F81337"/>
    <w:rsid w:val="00F81E59"/>
    <w:rsid w:val="00F826E8"/>
    <w:rsid w:val="00F82FA0"/>
    <w:rsid w:val="00F8335D"/>
    <w:rsid w:val="00F83AD4"/>
    <w:rsid w:val="00F83BB0"/>
    <w:rsid w:val="00F83D5B"/>
    <w:rsid w:val="00F83EC5"/>
    <w:rsid w:val="00F842FF"/>
    <w:rsid w:val="00F8477B"/>
    <w:rsid w:val="00F86A23"/>
    <w:rsid w:val="00F86AFB"/>
    <w:rsid w:val="00F86EAC"/>
    <w:rsid w:val="00F86FF5"/>
    <w:rsid w:val="00F87851"/>
    <w:rsid w:val="00F87A5E"/>
    <w:rsid w:val="00F90C09"/>
    <w:rsid w:val="00F90E31"/>
    <w:rsid w:val="00F91655"/>
    <w:rsid w:val="00F91658"/>
    <w:rsid w:val="00F93158"/>
    <w:rsid w:val="00F933F4"/>
    <w:rsid w:val="00F9424E"/>
    <w:rsid w:val="00F95AB9"/>
    <w:rsid w:val="00F960F0"/>
    <w:rsid w:val="00F96227"/>
    <w:rsid w:val="00F97FE7"/>
    <w:rsid w:val="00FA00D7"/>
    <w:rsid w:val="00FA110B"/>
    <w:rsid w:val="00FA12E0"/>
    <w:rsid w:val="00FA1489"/>
    <w:rsid w:val="00FA174F"/>
    <w:rsid w:val="00FA1EC3"/>
    <w:rsid w:val="00FA2186"/>
    <w:rsid w:val="00FA28B5"/>
    <w:rsid w:val="00FA2D27"/>
    <w:rsid w:val="00FA2E00"/>
    <w:rsid w:val="00FA2E08"/>
    <w:rsid w:val="00FA3097"/>
    <w:rsid w:val="00FA338A"/>
    <w:rsid w:val="00FA33E5"/>
    <w:rsid w:val="00FA37C6"/>
    <w:rsid w:val="00FA3D42"/>
    <w:rsid w:val="00FA52FF"/>
    <w:rsid w:val="00FA5F0F"/>
    <w:rsid w:val="00FA5F3D"/>
    <w:rsid w:val="00FA682D"/>
    <w:rsid w:val="00FB0BCE"/>
    <w:rsid w:val="00FB3249"/>
    <w:rsid w:val="00FB444E"/>
    <w:rsid w:val="00FB45CC"/>
    <w:rsid w:val="00FB52FD"/>
    <w:rsid w:val="00FB5856"/>
    <w:rsid w:val="00FB5EC3"/>
    <w:rsid w:val="00FB6069"/>
    <w:rsid w:val="00FB60D3"/>
    <w:rsid w:val="00FB6520"/>
    <w:rsid w:val="00FB6CFF"/>
    <w:rsid w:val="00FB75F8"/>
    <w:rsid w:val="00FB7CD3"/>
    <w:rsid w:val="00FC0D7A"/>
    <w:rsid w:val="00FC12D6"/>
    <w:rsid w:val="00FC1B5B"/>
    <w:rsid w:val="00FC1C3C"/>
    <w:rsid w:val="00FC2160"/>
    <w:rsid w:val="00FC2218"/>
    <w:rsid w:val="00FC2BA0"/>
    <w:rsid w:val="00FC2F5C"/>
    <w:rsid w:val="00FC312C"/>
    <w:rsid w:val="00FC318E"/>
    <w:rsid w:val="00FC336F"/>
    <w:rsid w:val="00FC370A"/>
    <w:rsid w:val="00FC3A1F"/>
    <w:rsid w:val="00FC4BB0"/>
    <w:rsid w:val="00FC4E57"/>
    <w:rsid w:val="00FC4F48"/>
    <w:rsid w:val="00FC5A60"/>
    <w:rsid w:val="00FC7126"/>
    <w:rsid w:val="00FC7143"/>
    <w:rsid w:val="00FC7505"/>
    <w:rsid w:val="00FC7C7F"/>
    <w:rsid w:val="00FD118E"/>
    <w:rsid w:val="00FD2441"/>
    <w:rsid w:val="00FD2958"/>
    <w:rsid w:val="00FD3616"/>
    <w:rsid w:val="00FD3A4D"/>
    <w:rsid w:val="00FD3F4C"/>
    <w:rsid w:val="00FD420D"/>
    <w:rsid w:val="00FD44AB"/>
    <w:rsid w:val="00FD4A4B"/>
    <w:rsid w:val="00FD4F07"/>
    <w:rsid w:val="00FD508C"/>
    <w:rsid w:val="00FD511B"/>
    <w:rsid w:val="00FD5C41"/>
    <w:rsid w:val="00FD5E2D"/>
    <w:rsid w:val="00FD617F"/>
    <w:rsid w:val="00FD7AD8"/>
    <w:rsid w:val="00FD7BFC"/>
    <w:rsid w:val="00FD7C67"/>
    <w:rsid w:val="00FD7CAB"/>
    <w:rsid w:val="00FD7DD0"/>
    <w:rsid w:val="00FE0E04"/>
    <w:rsid w:val="00FE0FCA"/>
    <w:rsid w:val="00FE12F6"/>
    <w:rsid w:val="00FE1AEA"/>
    <w:rsid w:val="00FE20AE"/>
    <w:rsid w:val="00FE322E"/>
    <w:rsid w:val="00FE3CBE"/>
    <w:rsid w:val="00FE3EDA"/>
    <w:rsid w:val="00FE416E"/>
    <w:rsid w:val="00FE4BDD"/>
    <w:rsid w:val="00FE5443"/>
    <w:rsid w:val="00FE6357"/>
    <w:rsid w:val="00FE639A"/>
    <w:rsid w:val="00FE6B1B"/>
    <w:rsid w:val="00FF1F1D"/>
    <w:rsid w:val="00FF27D2"/>
    <w:rsid w:val="00FF2FF6"/>
    <w:rsid w:val="00FF31FB"/>
    <w:rsid w:val="00FF34FD"/>
    <w:rsid w:val="00FF392F"/>
    <w:rsid w:val="00FF44FD"/>
    <w:rsid w:val="00FF53E4"/>
    <w:rsid w:val="00FF5A3D"/>
    <w:rsid w:val="00FF662E"/>
    <w:rsid w:val="00FF7050"/>
    <w:rsid w:val="00FF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0001A-A8AA-49EA-A6B7-4F2C6729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val="fr-FR" w:eastAsia="en-US" w:bidi="ar-S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2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6C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C0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D6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E9062C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705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607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705"/>
    <w:rPr>
      <w:rFonts w:ascii="Courier New" w:hAnsi="Courier New" w:cs="Courier New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26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65E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65E4"/>
    <w:rPr>
      <w:rFonts w:ascii="Courier New" w:hAnsi="Courier New" w:cs="Courier New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6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65E4"/>
    <w:rPr>
      <w:rFonts w:ascii="Courier New" w:hAnsi="Courier New" w:cs="Courier New"/>
      <w:b/>
      <w:bCs/>
    </w:rPr>
  </w:style>
  <w:style w:type="paragraph" w:styleId="NormalWeb">
    <w:name w:val="Normal (Web)"/>
    <w:basedOn w:val="Normal"/>
    <w:uiPriority w:val="99"/>
    <w:semiHidden/>
    <w:unhideWhenUsed/>
    <w:rsid w:val="003E789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ms">
    <w:name w:val="ams"/>
    <w:basedOn w:val="Policepardfaut"/>
    <w:rsid w:val="003C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964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1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84237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8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2845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9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7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esktop\Enquete%20de%20conjoncture%20menages_BUREAU\2023\resultatseECM(trim1-08-trim1-2024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esktop\Enquete%20de%20conjoncture%20menages_BUREAU\2023\resultatseECM(trim1-08-trim1-2024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esktop\Enquete%20de%20conjoncture%20menages_BUREAU\2023\resultatseECM(trim1-08-trim1-2024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esktop\Enquete%20de%20conjoncture%20menages_BUREAU\2023\resultatseECM(trim1-08-trim1-2024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esktop\Enquete%20de%20conjoncture%20menages_BUREAU\2023\resultatseECM(trim1-08-trim1-2024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esktop\Enquete%20de%20conjoncture%20menages_BUREAU\2023\resultatseECM(trim1-08-trim1-2024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53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56"/>
            <c:invertIfNegative val="0"/>
            <c:bubble3D val="0"/>
            <c:spPr>
              <a:solidFill>
                <a:schemeClr val="tx1"/>
              </a:solidFill>
            </c:spPr>
          </c:dPt>
          <c:dPt>
            <c:idx val="57"/>
            <c:invertIfNegative val="0"/>
            <c:bubble3D val="0"/>
            <c:spPr>
              <a:solidFill>
                <a:schemeClr val="tx1"/>
              </a:solidFill>
            </c:spPr>
          </c:dPt>
          <c:dLbls>
            <c:dLbl>
              <c:idx val="5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layout>
                <c:manualLayout>
                  <c:x val="6.0860627958304291E-3"/>
                  <c:y val="-2.5972743791641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'tableau note fr'!$I$3:$BN$3</c:f>
              <c:strCache>
                <c:ptCount val="58"/>
                <c:pt idx="0">
                  <c:v>T4/09</c:v>
                </c:pt>
                <c:pt idx="1">
                  <c:v>T1/10</c:v>
                </c:pt>
                <c:pt idx="2">
                  <c:v>T2/10</c:v>
                </c:pt>
                <c:pt idx="3">
                  <c:v>T3/10</c:v>
                </c:pt>
                <c:pt idx="4">
                  <c:v>T4/10</c:v>
                </c:pt>
                <c:pt idx="5">
                  <c:v>T1/11</c:v>
                </c:pt>
                <c:pt idx="6">
                  <c:v>T2/11</c:v>
                </c:pt>
                <c:pt idx="7">
                  <c:v>T3/11</c:v>
                </c:pt>
                <c:pt idx="8">
                  <c:v>T4/11</c:v>
                </c:pt>
                <c:pt idx="9">
                  <c:v>T1/12</c:v>
                </c:pt>
                <c:pt idx="10">
                  <c:v>T2/12</c:v>
                </c:pt>
                <c:pt idx="11">
                  <c:v>T3/12</c:v>
                </c:pt>
                <c:pt idx="12">
                  <c:v>T4/12</c:v>
                </c:pt>
                <c:pt idx="13">
                  <c:v>T1/13</c:v>
                </c:pt>
                <c:pt idx="14">
                  <c:v>T2/13</c:v>
                </c:pt>
                <c:pt idx="15">
                  <c:v>T3/13</c:v>
                </c:pt>
                <c:pt idx="16">
                  <c:v>T4/13</c:v>
                </c:pt>
                <c:pt idx="17">
                  <c:v>T1/14</c:v>
                </c:pt>
                <c:pt idx="18">
                  <c:v>T2/14</c:v>
                </c:pt>
                <c:pt idx="19">
                  <c:v>T3/14</c:v>
                </c:pt>
                <c:pt idx="20">
                  <c:v>T4/14</c:v>
                </c:pt>
                <c:pt idx="21">
                  <c:v>T1/15</c:v>
                </c:pt>
                <c:pt idx="22">
                  <c:v>T2/15</c:v>
                </c:pt>
                <c:pt idx="23">
                  <c:v>T3/15</c:v>
                </c:pt>
                <c:pt idx="24">
                  <c:v>T4/15</c:v>
                </c:pt>
                <c:pt idx="25">
                  <c:v>T1/16</c:v>
                </c:pt>
                <c:pt idx="26">
                  <c:v>T2/16</c:v>
                </c:pt>
                <c:pt idx="27">
                  <c:v>T3/16</c:v>
                </c:pt>
                <c:pt idx="28">
                  <c:v>T4/16</c:v>
                </c:pt>
                <c:pt idx="29">
                  <c:v>T1/17</c:v>
                </c:pt>
                <c:pt idx="30">
                  <c:v>T2/17</c:v>
                </c:pt>
                <c:pt idx="31">
                  <c:v>T3/17</c:v>
                </c:pt>
                <c:pt idx="32">
                  <c:v>T4/17</c:v>
                </c:pt>
                <c:pt idx="33">
                  <c:v>T1/18</c:v>
                </c:pt>
                <c:pt idx="34">
                  <c:v>T2/18</c:v>
                </c:pt>
                <c:pt idx="35">
                  <c:v>T3/18</c:v>
                </c:pt>
                <c:pt idx="36">
                  <c:v>T4/18</c:v>
                </c:pt>
                <c:pt idx="37">
                  <c:v>T1/19</c:v>
                </c:pt>
                <c:pt idx="38">
                  <c:v>T2/19</c:v>
                </c:pt>
                <c:pt idx="39">
                  <c:v>T3/19</c:v>
                </c:pt>
                <c:pt idx="40">
                  <c:v>T4/19</c:v>
                </c:pt>
                <c:pt idx="41">
                  <c:v>T1/20</c:v>
                </c:pt>
                <c:pt idx="42">
                  <c:v>T2/20</c:v>
                </c:pt>
                <c:pt idx="43">
                  <c:v>T3/20</c:v>
                </c:pt>
                <c:pt idx="44">
                  <c:v>T4/20</c:v>
                </c:pt>
                <c:pt idx="45">
                  <c:v>T1/21</c:v>
                </c:pt>
                <c:pt idx="46">
                  <c:v>T2/21</c:v>
                </c:pt>
                <c:pt idx="47">
                  <c:v>T3/21</c:v>
                </c:pt>
                <c:pt idx="48">
                  <c:v>T4/21</c:v>
                </c:pt>
                <c:pt idx="49">
                  <c:v>T1/22</c:v>
                </c:pt>
                <c:pt idx="50">
                  <c:v>T2/22</c:v>
                </c:pt>
                <c:pt idx="51">
                  <c:v>T3/22</c:v>
                </c:pt>
                <c:pt idx="52">
                  <c:v>T4/22</c:v>
                </c:pt>
                <c:pt idx="53">
                  <c:v>T1/23</c:v>
                </c:pt>
                <c:pt idx="54">
                  <c:v>T2/23</c:v>
                </c:pt>
                <c:pt idx="55">
                  <c:v>T3/23</c:v>
                </c:pt>
                <c:pt idx="56">
                  <c:v>T4/23</c:v>
                </c:pt>
                <c:pt idx="57">
                  <c:v>T1/24</c:v>
                </c:pt>
              </c:strCache>
            </c:strRef>
          </c:cat>
          <c:val>
            <c:numRef>
              <c:f>'tableau note fr'!$I$4:$BN$4</c:f>
              <c:numCache>
                <c:formatCode>0.0</c:formatCode>
                <c:ptCount val="58"/>
                <c:pt idx="0">
                  <c:v>79.463913413558046</c:v>
                </c:pt>
                <c:pt idx="1">
                  <c:v>80.136086093619255</c:v>
                </c:pt>
                <c:pt idx="2">
                  <c:v>78.833388330574451</c:v>
                </c:pt>
                <c:pt idx="3">
                  <c:v>78.629956901853461</c:v>
                </c:pt>
                <c:pt idx="4">
                  <c:v>74.744893710814793</c:v>
                </c:pt>
                <c:pt idx="5">
                  <c:v>78.406406130604964</c:v>
                </c:pt>
                <c:pt idx="6">
                  <c:v>85.789532632532669</c:v>
                </c:pt>
                <c:pt idx="7">
                  <c:v>86.506225251482533</c:v>
                </c:pt>
                <c:pt idx="8">
                  <c:v>84.477214694876935</c:v>
                </c:pt>
                <c:pt idx="9">
                  <c:v>82.880478542821777</c:v>
                </c:pt>
                <c:pt idx="10">
                  <c:v>80.673652783725402</c:v>
                </c:pt>
                <c:pt idx="11">
                  <c:v>77.553867036569542</c:v>
                </c:pt>
                <c:pt idx="12">
                  <c:v>78.403353681349358</c:v>
                </c:pt>
                <c:pt idx="13">
                  <c:v>75.830193123476278</c:v>
                </c:pt>
                <c:pt idx="14">
                  <c:v>74.26831493920966</c:v>
                </c:pt>
                <c:pt idx="15">
                  <c:v>75.40113716912164</c:v>
                </c:pt>
                <c:pt idx="16">
                  <c:v>74.15325435026638</c:v>
                </c:pt>
                <c:pt idx="17">
                  <c:v>74.110620959005914</c:v>
                </c:pt>
                <c:pt idx="18">
                  <c:v>74.014553099961518</c:v>
                </c:pt>
                <c:pt idx="19">
                  <c:v>73.148145370690315</c:v>
                </c:pt>
                <c:pt idx="20">
                  <c:v>71.583460003653826</c:v>
                </c:pt>
                <c:pt idx="21">
                  <c:v>73.659282965035374</c:v>
                </c:pt>
                <c:pt idx="22">
                  <c:v>76.125099572807997</c:v>
                </c:pt>
                <c:pt idx="23">
                  <c:v>76.315005733686135</c:v>
                </c:pt>
                <c:pt idx="24">
                  <c:v>77.131028825386352</c:v>
                </c:pt>
                <c:pt idx="25">
                  <c:v>71.648499016392506</c:v>
                </c:pt>
                <c:pt idx="26">
                  <c:v>75.703427371681073</c:v>
                </c:pt>
                <c:pt idx="27">
                  <c:v>73.804891243097046</c:v>
                </c:pt>
                <c:pt idx="28">
                  <c:v>73.539376287214708</c:v>
                </c:pt>
                <c:pt idx="29">
                  <c:v>78.230698468980961</c:v>
                </c:pt>
                <c:pt idx="30">
                  <c:v>85.8</c:v>
                </c:pt>
                <c:pt idx="31">
                  <c:v>85.5</c:v>
                </c:pt>
                <c:pt idx="32">
                  <c:v>85.9</c:v>
                </c:pt>
                <c:pt idx="33">
                  <c:v>87.317111388814197</c:v>
                </c:pt>
                <c:pt idx="34">
                  <c:v>87.279337774029429</c:v>
                </c:pt>
                <c:pt idx="35">
                  <c:v>82.473279380066572</c:v>
                </c:pt>
                <c:pt idx="36">
                  <c:v>79.8</c:v>
                </c:pt>
                <c:pt idx="37">
                  <c:v>79.104981863169897</c:v>
                </c:pt>
                <c:pt idx="38">
                  <c:v>74.905107002702309</c:v>
                </c:pt>
                <c:pt idx="39">
                  <c:v>74.821311833194073</c:v>
                </c:pt>
                <c:pt idx="40">
                  <c:v>77.783342120372509</c:v>
                </c:pt>
                <c:pt idx="41">
                  <c:v>75.733160637772386</c:v>
                </c:pt>
                <c:pt idx="42">
                  <c:v>65.597735117391565</c:v>
                </c:pt>
                <c:pt idx="43" formatCode="#,##0.0">
                  <c:v>60.6</c:v>
                </c:pt>
                <c:pt idx="44">
                  <c:v>61.15460503678139</c:v>
                </c:pt>
                <c:pt idx="45">
                  <c:v>68.3</c:v>
                </c:pt>
                <c:pt idx="46">
                  <c:v>62.975895024721467</c:v>
                </c:pt>
                <c:pt idx="47">
                  <c:v>65.469321461685027</c:v>
                </c:pt>
                <c:pt idx="48">
                  <c:v>61.244838328447536</c:v>
                </c:pt>
                <c:pt idx="49">
                  <c:v>53.74556746568382</c:v>
                </c:pt>
                <c:pt idx="50">
                  <c:v>50.111231811293493</c:v>
                </c:pt>
                <c:pt idx="51">
                  <c:v>47.411849848039999</c:v>
                </c:pt>
                <c:pt idx="52">
                  <c:v>46.606895890263502</c:v>
                </c:pt>
                <c:pt idx="53">
                  <c:v>46.297927716965162</c:v>
                </c:pt>
                <c:pt idx="54">
                  <c:v>45.357586401620864</c:v>
                </c:pt>
                <c:pt idx="55">
                  <c:v>46.469404550193154</c:v>
                </c:pt>
                <c:pt idx="56">
                  <c:v>44.291134204764113</c:v>
                </c:pt>
                <c:pt idx="57">
                  <c:v>45.339311881310557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8076192"/>
        <c:axId val="518077760"/>
      </c:barChart>
      <c:catAx>
        <c:axId val="5180761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600"/>
            </a:pPr>
            <a:endParaRPr lang="fr-FR"/>
          </a:p>
        </c:txPr>
        <c:crossAx val="518077760"/>
        <c:crosses val="autoZero"/>
        <c:auto val="1"/>
        <c:lblAlgn val="ctr"/>
        <c:lblOffset val="100"/>
        <c:noMultiLvlLbl val="0"/>
      </c:catAx>
      <c:valAx>
        <c:axId val="518077760"/>
        <c:scaling>
          <c:orientation val="minMax"/>
          <c:max val="90"/>
        </c:scaling>
        <c:delete val="0"/>
        <c:axPos val="l"/>
        <c:numFmt formatCode="0.0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518076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'tableau note fr'!$A$6</c:f>
              <c:strCache>
                <c:ptCount val="1"/>
                <c:pt idx="0">
                  <c:v>Evolution  passée du niveau de vie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fr'!$B$3:$BN$3</c:f>
              <c:strCache>
                <c:ptCount val="6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  <c:pt idx="55">
                  <c:v>T4/21</c:v>
                </c:pt>
                <c:pt idx="56">
                  <c:v>T1/22</c:v>
                </c:pt>
                <c:pt idx="57">
                  <c:v>T2/22</c:v>
                </c:pt>
                <c:pt idx="58">
                  <c:v>T3/22</c:v>
                </c:pt>
                <c:pt idx="59">
                  <c:v>T4/22</c:v>
                </c:pt>
                <c:pt idx="60">
                  <c:v>T1/23</c:v>
                </c:pt>
                <c:pt idx="61">
                  <c:v>T2/23</c:v>
                </c:pt>
                <c:pt idx="62">
                  <c:v>T3/23</c:v>
                </c:pt>
                <c:pt idx="63">
                  <c:v>T4/23</c:v>
                </c:pt>
                <c:pt idx="64">
                  <c:v>T1/24</c:v>
                </c:pt>
              </c:strCache>
            </c:strRef>
          </c:cat>
          <c:val>
            <c:numRef>
              <c:f>'tableau note fr'!$B$6:$BN$6</c:f>
              <c:numCache>
                <c:formatCode>#,##0.0</c:formatCode>
                <c:ptCount val="65"/>
                <c:pt idx="0">
                  <c:v>-10.399945582052929</c:v>
                </c:pt>
                <c:pt idx="1">
                  <c:v>-25.153379455992276</c:v>
                </c:pt>
                <c:pt idx="2">
                  <c:v>-31.141291421499687</c:v>
                </c:pt>
                <c:pt idx="3">
                  <c:v>-29.393844818665311</c:v>
                </c:pt>
                <c:pt idx="4">
                  <c:v>-36.652789359955584</c:v>
                </c:pt>
                <c:pt idx="5">
                  <c:v>-29.108394514506998</c:v>
                </c:pt>
                <c:pt idx="6">
                  <c:v>-25.702364309825629</c:v>
                </c:pt>
                <c:pt idx="7">
                  <c:v>-26.546435956901806</c:v>
                </c:pt>
                <c:pt idx="8">
                  <c:v>-25.723634629573034</c:v>
                </c:pt>
                <c:pt idx="9">
                  <c:v>-28.564995519039879</c:v>
                </c:pt>
                <c:pt idx="10">
                  <c:v>-27.930454212484364</c:v>
                </c:pt>
                <c:pt idx="11">
                  <c:v>-37.236760344983324</c:v>
                </c:pt>
                <c:pt idx="12">
                  <c:v>-26.050959167650028</c:v>
                </c:pt>
                <c:pt idx="13">
                  <c:v>-16.961438303130922</c:v>
                </c:pt>
                <c:pt idx="14">
                  <c:v>-13.439142519851998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-21.816848529134617</c:v>
                </c:pt>
                <c:pt idx="18">
                  <c:v>-27.85707555673623</c:v>
                </c:pt>
                <c:pt idx="19">
                  <c:v>-28.088708351168709</c:v>
                </c:pt>
                <c:pt idx="20">
                  <c:v>-29.212341127418188</c:v>
                </c:pt>
                <c:pt idx="21">
                  <c:v>-23.102864483982046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-18.060219769201908</c:v>
                </c:pt>
                <c:pt idx="25">
                  <c:v>-17.740461010850286</c:v>
                </c:pt>
                <c:pt idx="26">
                  <c:v>-17.387590506775663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-12.785821926678453</c:v>
                </c:pt>
                <c:pt idx="30">
                  <c:v>-15.129825087046076</c:v>
                </c:pt>
                <c:pt idx="31">
                  <c:v>-13.828410383657555</c:v>
                </c:pt>
                <c:pt idx="32">
                  <c:v>-22.864633579953832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-17.464225574589385</c:v>
                </c:pt>
                <c:pt idx="36">
                  <c:v>-11.990228520502587</c:v>
                </c:pt>
                <c:pt idx="37">
                  <c:v>-8.1644944099804988</c:v>
                </c:pt>
                <c:pt idx="38">
                  <c:v>-3.1370023233621227</c:v>
                </c:pt>
                <c:pt idx="39">
                  <c:v>-3.7719246964283588</c:v>
                </c:pt>
                <c:pt idx="40">
                  <c:v>-6.24696090915109</c:v>
                </c:pt>
                <c:pt idx="41" formatCode="0.0">
                  <c:v>-5.3830093381329069</c:v>
                </c:pt>
                <c:pt idx="42" formatCode="0.0">
                  <c:v>-9.5049571220917954</c:v>
                </c:pt>
                <c:pt idx="43" formatCode="0.0">
                  <c:v>-13.3</c:v>
                </c:pt>
                <c:pt idx="44" formatCode="0.0">
                  <c:v>-14.967427927122962</c:v>
                </c:pt>
                <c:pt idx="45" formatCode="0.0">
                  <c:v>-25.353008106891455</c:v>
                </c:pt>
                <c:pt idx="46" formatCode="0.0">
                  <c:v>-20.237097183526259</c:v>
                </c:pt>
                <c:pt idx="47" formatCode="0.0">
                  <c:v>-19.996896512157363</c:v>
                </c:pt>
                <c:pt idx="48" formatCode="0.0">
                  <c:v>-19.767991560587593</c:v>
                </c:pt>
                <c:pt idx="49" formatCode="0.0">
                  <c:v>-24.751522052511692</c:v>
                </c:pt>
                <c:pt idx="50">
                  <c:v>-35.633876933169311</c:v>
                </c:pt>
                <c:pt idx="51" formatCode="0.0">
                  <c:v>-46.60745892258177</c:v>
                </c:pt>
                <c:pt idx="52" formatCode="0.0">
                  <c:v>-50.5</c:v>
                </c:pt>
                <c:pt idx="53" formatCode="0.0">
                  <c:v>-50.789884569181147</c:v>
                </c:pt>
                <c:pt idx="54" formatCode="0.0">
                  <c:v>-41.509403430971048</c:v>
                </c:pt>
                <c:pt idx="55" formatCode="0.0">
                  <c:v>-55.207171712499431</c:v>
                </c:pt>
                <c:pt idx="56" formatCode="0.0">
                  <c:v>-66.848800336369735</c:v>
                </c:pt>
                <c:pt idx="57" formatCode="0.0">
                  <c:v>-72.973367191898419</c:v>
                </c:pt>
                <c:pt idx="58" formatCode="0.0">
                  <c:v>-74.584296237560608</c:v>
                </c:pt>
                <c:pt idx="59" formatCode="0.0">
                  <c:v>-77.955196192924674</c:v>
                </c:pt>
                <c:pt idx="60" formatCode="0.0">
                  <c:v>-81.53758164563699</c:v>
                </c:pt>
                <c:pt idx="61" formatCode="0.0">
                  <c:v>-84.602763632050156</c:v>
                </c:pt>
                <c:pt idx="62" formatCode="0.0">
                  <c:v>-81.540450582650379</c:v>
                </c:pt>
                <c:pt idx="63" formatCode="###0.0">
                  <c:v>-83.236047171895848</c:v>
                </c:pt>
                <c:pt idx="64" formatCode="###0.0">
                  <c:v>-78.092789389410072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'tableau note fr'!$A$7</c:f>
              <c:strCache>
                <c:ptCount val="1"/>
                <c:pt idx="0">
                  <c:v>Perspective d'évolution du niveau de vie</c:v>
                </c:pt>
              </c:strCache>
            </c:strRef>
          </c:tx>
          <c:cat>
            <c:strRef>
              <c:f>'tableau note fr'!$B$3:$BN$3</c:f>
              <c:strCache>
                <c:ptCount val="6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  <c:pt idx="55">
                  <c:v>T4/21</c:v>
                </c:pt>
                <c:pt idx="56">
                  <c:v>T1/22</c:v>
                </c:pt>
                <c:pt idx="57">
                  <c:v>T2/22</c:v>
                </c:pt>
                <c:pt idx="58">
                  <c:v>T3/22</c:v>
                </c:pt>
                <c:pt idx="59">
                  <c:v>T4/22</c:v>
                </c:pt>
                <c:pt idx="60">
                  <c:v>T1/23</c:v>
                </c:pt>
                <c:pt idx="61">
                  <c:v>T2/23</c:v>
                </c:pt>
                <c:pt idx="62">
                  <c:v>T3/23</c:v>
                </c:pt>
                <c:pt idx="63">
                  <c:v>T4/23</c:v>
                </c:pt>
                <c:pt idx="64">
                  <c:v>T1/24</c:v>
                </c:pt>
              </c:strCache>
            </c:strRef>
          </c:cat>
          <c:val>
            <c:numRef>
              <c:f>'tableau note fr'!$B$7:$BN$7</c:f>
              <c:numCache>
                <c:formatCode>#,##0.0</c:formatCode>
                <c:ptCount val="65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-3.4692228168248289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8.4334302751112644E-2</c:v>
                </c:pt>
                <c:pt idx="7">
                  <c:v>2.1853913991610039</c:v>
                </c:pt>
                <c:pt idx="8">
                  <c:v>0.39154986438085509</c:v>
                </c:pt>
                <c:pt idx="9">
                  <c:v>2.7314646872285109</c:v>
                </c:pt>
                <c:pt idx="10">
                  <c:v>0.19418325799955133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18.132139936578831</c:v>
                </c:pt>
                <c:pt idx="14">
                  <c:v>11.870106120928273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-3.2327838268829279</c:v>
                </c:pt>
                <c:pt idx="19">
                  <c:v>-1.2159862376115482</c:v>
                </c:pt>
                <c:pt idx="20">
                  <c:v>-5.0957647237932591</c:v>
                </c:pt>
                <c:pt idx="21">
                  <c:v>-4.2068608448306382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-11.389732068783587</c:v>
                </c:pt>
                <c:pt idx="25">
                  <c:v>-13.06376822459352</c:v>
                </c:pt>
                <c:pt idx="26">
                  <c:v>-13.090700094553394</c:v>
                </c:pt>
                <c:pt idx="27">
                  <c:v>-12.672429336417741</c:v>
                </c:pt>
                <c:pt idx="28">
                  <c:v>-8.8537661336825266</c:v>
                </c:pt>
                <c:pt idx="29">
                  <c:v>-7.272720683116173</c:v>
                </c:pt>
                <c:pt idx="30">
                  <c:v>-7.7131091840762105</c:v>
                </c:pt>
                <c:pt idx="31">
                  <c:v>-8.0828133778612639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-7.0591296227720886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11.056984366480329</c:v>
                </c:pt>
                <c:pt idx="38">
                  <c:v>10.513852464527606</c:v>
                </c:pt>
                <c:pt idx="39">
                  <c:v>11.534776778164916</c:v>
                </c:pt>
                <c:pt idx="40">
                  <c:v>16.612852585837704</c:v>
                </c:pt>
                <c:pt idx="41" formatCode="0.0">
                  <c:v>14.986375562038821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9.9894562713734114</c:v>
                </c:pt>
                <c:pt idx="45" formatCode="0.0">
                  <c:v>4.7256177899689265</c:v>
                </c:pt>
                <c:pt idx="46" formatCode="0.0">
                  <c:v>-3.676405783775035</c:v>
                </c:pt>
                <c:pt idx="47" formatCode="0.0">
                  <c:v>-2.1591381326741157</c:v>
                </c:pt>
                <c:pt idx="48" formatCode="0.0">
                  <c:v>-4.6486149345966226</c:v>
                </c:pt>
                <c:pt idx="49" formatCode="0.0">
                  <c:v>-11.439989639150371</c:v>
                </c:pt>
                <c:pt idx="50">
                  <c:v>-17.395183495255463</c:v>
                </c:pt>
                <c:pt idx="51" formatCode="0.0">
                  <c:v>-17.398438698388123</c:v>
                </c:pt>
                <c:pt idx="52" formatCode="0.0">
                  <c:v>13.2</c:v>
                </c:pt>
                <c:pt idx="53" formatCode="0.0">
                  <c:v>0.23038768840290011</c:v>
                </c:pt>
                <c:pt idx="54" formatCode="0.0">
                  <c:v>9.3481827020713606</c:v>
                </c:pt>
                <c:pt idx="55" formatCode="0.0">
                  <c:v>-1.3718594161528617</c:v>
                </c:pt>
                <c:pt idx="56" formatCode="0.0">
                  <c:v>-21.440746708881651</c:v>
                </c:pt>
                <c:pt idx="57" formatCode="0.0">
                  <c:v>-34.307671667317493</c:v>
                </c:pt>
                <c:pt idx="58" formatCode="0.0">
                  <c:v>-41.560642466335416</c:v>
                </c:pt>
                <c:pt idx="59" formatCode="0.0">
                  <c:v>-43.041302609193096</c:v>
                </c:pt>
                <c:pt idx="60" formatCode="0.0">
                  <c:v>-38.777551768230154</c:v>
                </c:pt>
                <c:pt idx="61" formatCode="0.0">
                  <c:v>-43.671200534104102</c:v>
                </c:pt>
                <c:pt idx="62" formatCode="0.0">
                  <c:v>-41.711189325198177</c:v>
                </c:pt>
                <c:pt idx="63" formatCode="###0.0">
                  <c:v>-48.994448977266487</c:v>
                </c:pt>
                <c:pt idx="64" formatCode="###0.0">
                  <c:v>-47.314289216263873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8077368"/>
        <c:axId val="518074232"/>
      </c:lineChart>
      <c:catAx>
        <c:axId val="518077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lang="en-US" sz="500"/>
            </a:pPr>
            <a:endParaRPr lang="fr-FR"/>
          </a:p>
        </c:txPr>
        <c:crossAx val="518074232"/>
        <c:crosses val="autoZero"/>
        <c:auto val="1"/>
        <c:lblAlgn val="ctr"/>
        <c:lblOffset val="100"/>
        <c:noMultiLvlLbl val="0"/>
      </c:catAx>
      <c:valAx>
        <c:axId val="518074232"/>
        <c:scaling>
          <c:orientation val="minMax"/>
        </c:scaling>
        <c:delete val="0"/>
        <c:axPos val="l"/>
        <c:majorGridlines/>
        <c:numFmt formatCode="#,##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51807736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'tableau note fr'!$A$5</c:f>
              <c:strCache>
                <c:ptCount val="1"/>
                <c:pt idx="0">
                  <c:v>Perspective d'évolution du nombre de chômeur</c:v>
                </c:pt>
              </c:strCache>
            </c:strRef>
          </c:tx>
          <c:marker>
            <c:symbol val="none"/>
          </c:marker>
          <c:cat>
            <c:strRef>
              <c:f>'tableau note fr'!$B$3:$BN$3</c:f>
              <c:strCache>
                <c:ptCount val="6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  <c:pt idx="55">
                  <c:v>T4/21</c:v>
                </c:pt>
                <c:pt idx="56">
                  <c:v>T1/22</c:v>
                </c:pt>
                <c:pt idx="57">
                  <c:v>T2/22</c:v>
                </c:pt>
                <c:pt idx="58">
                  <c:v>T3/22</c:v>
                </c:pt>
                <c:pt idx="59">
                  <c:v>T4/22</c:v>
                </c:pt>
                <c:pt idx="60">
                  <c:v>T1/23</c:v>
                </c:pt>
                <c:pt idx="61">
                  <c:v>T2/23</c:v>
                </c:pt>
                <c:pt idx="62">
                  <c:v>T3/23</c:v>
                </c:pt>
                <c:pt idx="63">
                  <c:v>T4/23</c:v>
                </c:pt>
                <c:pt idx="64">
                  <c:v>T1/24</c:v>
                </c:pt>
              </c:strCache>
            </c:strRef>
          </c:cat>
          <c:val>
            <c:numRef>
              <c:f>'tableau note fr'!$B$5:$BN$5</c:f>
              <c:numCache>
                <c:formatCode>#,##0.0</c:formatCode>
                <c:ptCount val="65"/>
                <c:pt idx="0">
                  <c:v>-52.095692279179119</c:v>
                </c:pt>
                <c:pt idx="1">
                  <c:v>-56.601297669293437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-57.930600458568527</c:v>
                </c:pt>
                <c:pt idx="7">
                  <c:v>-57.517749523976569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-52.335316844022408</c:v>
                </c:pt>
                <c:pt idx="12">
                  <c:v>-52.408437207990296</c:v>
                </c:pt>
                <c:pt idx="13">
                  <c:v>-45.98227848623354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-69.100751044168106</c:v>
                </c:pt>
                <c:pt idx="25">
                  <c:v>-66.493969881109066</c:v>
                </c:pt>
                <c:pt idx="26">
                  <c:v>-68.825577821250064</c:v>
                </c:pt>
                <c:pt idx="27">
                  <c:v>-68.019160185663324</c:v>
                </c:pt>
                <c:pt idx="28">
                  <c:v>-65.155740215393806</c:v>
                </c:pt>
                <c:pt idx="29">
                  <c:v>-67.056481822589902</c:v>
                </c:pt>
                <c:pt idx="30">
                  <c:v>-66.189276460398091</c:v>
                </c:pt>
                <c:pt idx="31">
                  <c:v>-64.100777949741868</c:v>
                </c:pt>
                <c:pt idx="32">
                  <c:v>-67.734442836361055</c:v>
                </c:pt>
                <c:pt idx="33">
                  <c:v>-68.976178952187837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-59.886763094223191</c:v>
                </c:pt>
                <c:pt idx="39">
                  <c:v>-58.5</c:v>
                </c:pt>
                <c:pt idx="40">
                  <c:v>-54.525998602090162</c:v>
                </c:pt>
                <c:pt idx="41" formatCode="0.0">
                  <c:v>-61.706282712863526</c:v>
                </c:pt>
                <c:pt idx="42" formatCode="0.0">
                  <c:v>-65.247643368131946</c:v>
                </c:pt>
                <c:pt idx="43" formatCode="0.0">
                  <c:v>-70</c:v>
                </c:pt>
                <c:pt idx="44" formatCode="0.0">
                  <c:v>-75.565732444458988</c:v>
                </c:pt>
                <c:pt idx="45" formatCode="0.0">
                  <c:v>-76.905120512383789</c:v>
                </c:pt>
                <c:pt idx="46" formatCode="0.0">
                  <c:v>-71.81769794194031</c:v>
                </c:pt>
                <c:pt idx="47" formatCode="0.0">
                  <c:v>-71.645886731132009</c:v>
                </c:pt>
                <c:pt idx="48" formatCode="0.0">
                  <c:v>-70.7934404370435</c:v>
                </c:pt>
                <c:pt idx="49" formatCode="0.0">
                  <c:v>-75.168553605935244</c:v>
                </c:pt>
                <c:pt idx="50">
                  <c:v>-82.012609773267997</c:v>
                </c:pt>
                <c:pt idx="51" formatCode="0.0">
                  <c:v>-78.280561499164364</c:v>
                </c:pt>
                <c:pt idx="52" formatCode="0.0">
                  <c:v>-62.2</c:v>
                </c:pt>
                <c:pt idx="53" formatCode="0.0">
                  <c:v>-69.830611321827732</c:v>
                </c:pt>
                <c:pt idx="54" formatCode="0.0">
                  <c:v>-78.313406558982848</c:v>
                </c:pt>
                <c:pt idx="55" formatCode="0.0">
                  <c:v>-77.577031249355031</c:v>
                </c:pt>
                <c:pt idx="56" formatCode="0.0">
                  <c:v>-82.803590957343502</c:v>
                </c:pt>
                <c:pt idx="57" formatCode="0.0">
                  <c:v>-81.13998967210614</c:v>
                </c:pt>
                <c:pt idx="58" formatCode="0.0">
                  <c:v>-83.498658671309144</c:v>
                </c:pt>
                <c:pt idx="59" formatCode="0.0">
                  <c:v>-79.636069225786045</c:v>
                </c:pt>
                <c:pt idx="60" formatCode="0.0">
                  <c:v>-81.389540713196567</c:v>
                </c:pt>
                <c:pt idx="61" formatCode="0.0">
                  <c:v>-80.426725462017231</c:v>
                </c:pt>
                <c:pt idx="62" formatCode="0.0">
                  <c:v>-81.916897779373542</c:v>
                </c:pt>
                <c:pt idx="63" formatCode="###0.0">
                  <c:v>-80.309196989481379</c:v>
                </c:pt>
                <c:pt idx="64" formatCode="###0.0">
                  <c:v>-77.526473493511418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18076976"/>
        <c:axId val="743986776"/>
      </c:lineChart>
      <c:catAx>
        <c:axId val="5180769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lang="en-US" sz="500"/>
            </a:pPr>
            <a:endParaRPr lang="fr-FR"/>
          </a:p>
        </c:txPr>
        <c:crossAx val="743986776"/>
        <c:crosses val="autoZero"/>
        <c:auto val="1"/>
        <c:lblAlgn val="ctr"/>
        <c:lblOffset val="100"/>
        <c:noMultiLvlLbl val="0"/>
      </c:catAx>
      <c:valAx>
        <c:axId val="743986776"/>
        <c:scaling>
          <c:orientation val="minMax"/>
        </c:scaling>
        <c:delete val="0"/>
        <c:axPos val="l"/>
        <c:majorGridlines/>
        <c:numFmt formatCode="#,##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518076976"/>
        <c:crosses val="autoZero"/>
        <c:crossBetween val="between"/>
      </c:valAx>
    </c:plotArea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033556097871122E-2"/>
          <c:y val="0.10270563353500772"/>
          <c:w val="0.94772791848141569"/>
          <c:h val="0.78081785515658375"/>
        </c:manualLayout>
      </c:layout>
      <c:lineChart>
        <c:grouping val="standard"/>
        <c:varyColors val="0"/>
        <c:ser>
          <c:idx val="0"/>
          <c:order val="0"/>
          <c:tx>
            <c:strRef>
              <c:f>'tableau note fr'!$A$8</c:f>
              <c:strCache>
                <c:ptCount val="1"/>
                <c:pt idx="0">
                  <c:v>Opportunité d'achat</c:v>
                </c:pt>
              </c:strCache>
            </c:strRef>
          </c:tx>
          <c:marker>
            <c:symbol val="none"/>
          </c:marker>
          <c:cat>
            <c:strRef>
              <c:f>'tableau note fr'!$B$3:$BN$3</c:f>
              <c:strCache>
                <c:ptCount val="6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  <c:pt idx="55">
                  <c:v>T4/21</c:v>
                </c:pt>
                <c:pt idx="56">
                  <c:v>T1/22</c:v>
                </c:pt>
                <c:pt idx="57">
                  <c:v>T2/22</c:v>
                </c:pt>
                <c:pt idx="58">
                  <c:v>T3/22</c:v>
                </c:pt>
                <c:pt idx="59">
                  <c:v>T4/22</c:v>
                </c:pt>
                <c:pt idx="60">
                  <c:v>T1/23</c:v>
                </c:pt>
                <c:pt idx="61">
                  <c:v>T2/23</c:v>
                </c:pt>
                <c:pt idx="62">
                  <c:v>T3/23</c:v>
                </c:pt>
                <c:pt idx="63">
                  <c:v>T4/23</c:v>
                </c:pt>
                <c:pt idx="64">
                  <c:v>T1/24</c:v>
                </c:pt>
              </c:strCache>
            </c:strRef>
          </c:cat>
          <c:val>
            <c:numRef>
              <c:f>'tableau note fr'!$B$8:$BN$8</c:f>
              <c:numCache>
                <c:formatCode>#,##0.0</c:formatCode>
                <c:ptCount val="65"/>
                <c:pt idx="0">
                  <c:v>-30.01844977083184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-39.103064640682923</c:v>
                </c:pt>
                <c:pt idx="4">
                  <c:v>-41.76535050903388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-34.756506471721615</c:v>
                </c:pt>
                <c:pt idx="9">
                  <c:v>-37.53251909827177</c:v>
                </c:pt>
                <c:pt idx="10">
                  <c:v>-36.012077907569903</c:v>
                </c:pt>
                <c:pt idx="11">
                  <c:v>-44.335673139520985</c:v>
                </c:pt>
                <c:pt idx="12">
                  <c:v>-39.860076277616784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-37.388587169100568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-28.348240299081723</c:v>
                </c:pt>
                <c:pt idx="21">
                  <c:v>-31.722199742496027</c:v>
                </c:pt>
                <c:pt idx="22">
                  <c:v>-29.537045526222126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-28.892463445062134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-36.986420638663823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-37.5093254714225</c:v>
                </c:pt>
                <c:pt idx="32">
                  <c:v>-40.239810197161106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-39.999291784066472</c:v>
                </c:pt>
                <c:pt idx="37">
                  <c:v>-28.160977836062902</c:v>
                </c:pt>
                <c:pt idx="38">
                  <c:v>-31.475843594428113</c:v>
                </c:pt>
                <c:pt idx="39">
                  <c:v>-25.6</c:v>
                </c:pt>
                <c:pt idx="40">
                  <c:v>-27.189644342164566</c:v>
                </c:pt>
                <c:pt idx="41" formatCode="0.0">
                  <c:v>-25.753095123938714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  <c:pt idx="45" formatCode="0.0">
                  <c:v>-41.423646990592751</c:v>
                </c:pt>
                <c:pt idx="46" formatCode="0.0">
                  <c:v>-37.730567473068447</c:v>
                </c:pt>
                <c:pt idx="47" formatCode="0.0">
                  <c:v>-29.21833531467249</c:v>
                </c:pt>
                <c:pt idx="48" formatCode="0.0">
                  <c:v>-32.611752500665851</c:v>
                </c:pt>
                <c:pt idx="49" formatCode="0.0">
                  <c:v>-67.951617125134092</c:v>
                </c:pt>
                <c:pt idx="50">
                  <c:v>-63.469757370471875</c:v>
                </c:pt>
                <c:pt idx="51" formatCode="0.0">
                  <c:v>-61.233843482530801</c:v>
                </c:pt>
                <c:pt idx="52" formatCode="0.0">
                  <c:v>-61.6</c:v>
                </c:pt>
                <c:pt idx="53" formatCode="0.0">
                  <c:v>-65.565215742281509</c:v>
                </c:pt>
                <c:pt idx="54" formatCode="0.0">
                  <c:v>-61.974386136345984</c:v>
                </c:pt>
                <c:pt idx="55" formatCode="0.0">
                  <c:v>-62.794548879325561</c:v>
                </c:pt>
                <c:pt idx="56" formatCode="0.0">
                  <c:v>-66.694844970978195</c:v>
                </c:pt>
                <c:pt idx="57" formatCode="0.0">
                  <c:v>-69.145089033375214</c:v>
                </c:pt>
                <c:pt idx="58" formatCode="0.0">
                  <c:v>-74.005196986116957</c:v>
                </c:pt>
                <c:pt idx="59" formatCode="0.0">
                  <c:v>-70.308042764648917</c:v>
                </c:pt>
                <c:pt idx="60" formatCode="0.0">
                  <c:v>-69.793610379094631</c:v>
                </c:pt>
                <c:pt idx="61" formatCode="0.0">
                  <c:v>-68.920694966427703</c:v>
                </c:pt>
                <c:pt idx="62" formatCode="0.0">
                  <c:v>-71.5</c:v>
                </c:pt>
                <c:pt idx="63" formatCode="###0.0">
                  <c:v>-70.412710928240614</c:v>
                </c:pt>
                <c:pt idx="64" formatCode="###0.0">
                  <c:v>-72.89367097061033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43985600"/>
        <c:axId val="743986384"/>
      </c:lineChart>
      <c:catAx>
        <c:axId val="743985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lang="en-US" sz="600"/>
            </a:pPr>
            <a:endParaRPr lang="fr-FR"/>
          </a:p>
        </c:txPr>
        <c:crossAx val="743986384"/>
        <c:crosses val="autoZero"/>
        <c:auto val="1"/>
        <c:lblAlgn val="ctr"/>
        <c:lblOffset val="100"/>
        <c:noMultiLvlLbl val="0"/>
      </c:catAx>
      <c:valAx>
        <c:axId val="743986384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en-US" sz="900"/>
            </a:pPr>
            <a:endParaRPr lang="fr-FR"/>
          </a:p>
        </c:txPr>
        <c:crossAx val="743985600"/>
        <c:crosses val="autoZero"/>
        <c:crossBetween val="between"/>
      </c:valAx>
    </c:plotArea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863351819674883E-2"/>
          <c:y val="6.2232718662658178E-2"/>
          <c:w val="0.91973204979759959"/>
          <c:h val="0.71206770575019851"/>
        </c:manualLayout>
      </c:layout>
      <c:lineChart>
        <c:grouping val="standard"/>
        <c:varyColors val="0"/>
        <c:ser>
          <c:idx val="0"/>
          <c:order val="0"/>
          <c:tx>
            <c:strRef>
              <c:f>'tableau note fr'!$A$9</c:f>
              <c:strCache>
                <c:ptCount val="1"/>
                <c:pt idx="0">
                  <c:v>Situation financière actuelle des ménages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fr'!$B$3:$BN$3</c:f>
              <c:strCache>
                <c:ptCount val="6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  <c:pt idx="55">
                  <c:v>T4/21</c:v>
                </c:pt>
                <c:pt idx="56">
                  <c:v>T1/22</c:v>
                </c:pt>
                <c:pt idx="57">
                  <c:v>T2/22</c:v>
                </c:pt>
                <c:pt idx="58">
                  <c:v>T3/22</c:v>
                </c:pt>
                <c:pt idx="59">
                  <c:v>T4/22</c:v>
                </c:pt>
                <c:pt idx="60">
                  <c:v>T1/23</c:v>
                </c:pt>
                <c:pt idx="61">
                  <c:v>T2/23</c:v>
                </c:pt>
                <c:pt idx="62">
                  <c:v>T3/23</c:v>
                </c:pt>
                <c:pt idx="63">
                  <c:v>T4/23</c:v>
                </c:pt>
                <c:pt idx="64">
                  <c:v>T1/24</c:v>
                </c:pt>
              </c:strCache>
            </c:strRef>
          </c:cat>
          <c:val>
            <c:numRef>
              <c:f>'tableau note fr'!$B$9:$BN$9</c:f>
              <c:numCache>
                <c:formatCode>#,##0.0</c:formatCode>
                <c:ptCount val="65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-34.418326375664201</c:v>
                </c:pt>
                <c:pt idx="3">
                  <c:v>-33.119220631579381</c:v>
                </c:pt>
                <c:pt idx="4">
                  <c:v>-31.284887127595876</c:v>
                </c:pt>
                <c:pt idx="5">
                  <c:v>-26.871936633729426</c:v>
                </c:pt>
                <c:pt idx="6">
                  <c:v>-28.286909450889894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-28.062624892496348</c:v>
                </c:pt>
                <c:pt idx="12">
                  <c:v>-30.645498931903767</c:v>
                </c:pt>
                <c:pt idx="13">
                  <c:v>-27.092549889444378</c:v>
                </c:pt>
                <c:pt idx="14">
                  <c:v>-24.28899054728441</c:v>
                </c:pt>
                <c:pt idx="15">
                  <c:v>-25.66971218134977</c:v>
                </c:pt>
                <c:pt idx="16">
                  <c:v>-25.43546294568884</c:v>
                </c:pt>
                <c:pt idx="17">
                  <c:v>-31.040689498948897</c:v>
                </c:pt>
                <c:pt idx="18">
                  <c:v>-30.846093343724224</c:v>
                </c:pt>
                <c:pt idx="19">
                  <c:v>-29.426966691861292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-29.484131282651262</c:v>
                </c:pt>
                <c:pt idx="23">
                  <c:v>-29.485585569479984</c:v>
                </c:pt>
                <c:pt idx="24">
                  <c:v>-31.290770339915071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-30.637429411694018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-25.699936983325905</c:v>
                </c:pt>
                <c:pt idx="32">
                  <c:v>-27.232686212381452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-28.725836843764096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-22.581783906285732</c:v>
                </c:pt>
                <c:pt idx="39">
                  <c:v>-24.392000147868323</c:v>
                </c:pt>
                <c:pt idx="40">
                  <c:v>-25.236685531801363</c:v>
                </c:pt>
                <c:pt idx="41" formatCode="0.0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-28.874306637901373</c:v>
                </c:pt>
                <c:pt idx="45" formatCode="0.0">
                  <c:v>-30.79433028581099</c:v>
                </c:pt>
                <c:pt idx="46" formatCode="0.0">
                  <c:v>-29.543474949783903</c:v>
                </c:pt>
                <c:pt idx="47" formatCode="0.0">
                  <c:v>-26.38685501138583</c:v>
                </c:pt>
                <c:pt idx="48" formatCode="0.0">
                  <c:v>-27.711995909750598</c:v>
                </c:pt>
                <c:pt idx="49" formatCode="0.0">
                  <c:v>-29.955220894721712</c:v>
                </c:pt>
                <c:pt idx="50">
                  <c:v>-31.50482545170043</c:v>
                </c:pt>
                <c:pt idx="51" formatCode="0.0">
                  <c:v>-29.083585505842859</c:v>
                </c:pt>
                <c:pt idx="52" formatCode="0.0">
                  <c:v>-34.4</c:v>
                </c:pt>
                <c:pt idx="53" formatCode="0.0">
                  <c:v>-38.035486047325477</c:v>
                </c:pt>
                <c:pt idx="54" formatCode="0.0">
                  <c:v>-36.428256542769461</c:v>
                </c:pt>
                <c:pt idx="55" formatCode="0.0">
                  <c:v>-40.395301048613071</c:v>
                </c:pt>
                <c:pt idx="56" formatCode="0.0">
                  <c:v>-43.360121736390973</c:v>
                </c:pt>
                <c:pt idx="57" formatCode="0.0">
                  <c:v>-42.859520384168782</c:v>
                </c:pt>
                <c:pt idx="58" formatCode="0.0">
                  <c:v>-40.852070365263799</c:v>
                </c:pt>
                <c:pt idx="59" formatCode="0.0">
                  <c:v>-42.073262915232348</c:v>
                </c:pt>
                <c:pt idx="60" formatCode="0.0">
                  <c:v>-42.039252344626142</c:v>
                </c:pt>
                <c:pt idx="61" formatCode="0.0">
                  <c:v>-41.443683343818755</c:v>
                </c:pt>
                <c:pt idx="62" formatCode="0.0">
                  <c:v>-40.15308778785429</c:v>
                </c:pt>
                <c:pt idx="63" formatCode="###0.0">
                  <c:v>-40.292970217529017</c:v>
                </c:pt>
                <c:pt idx="64" formatCode="###0.0">
                  <c:v>-40.642848388770922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'tableau note fr'!$A$10</c:f>
              <c:strCache>
                <c:ptCount val="1"/>
                <c:pt idx="0">
                  <c:v>Evolution  passée de la situation financière des ménages</c:v>
                </c:pt>
              </c:strCache>
            </c:strRef>
          </c:tx>
          <c:cat>
            <c:strRef>
              <c:f>'tableau note fr'!$B$3:$BN$3</c:f>
              <c:strCache>
                <c:ptCount val="6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  <c:pt idx="55">
                  <c:v>T4/21</c:v>
                </c:pt>
                <c:pt idx="56">
                  <c:v>T1/22</c:v>
                </c:pt>
                <c:pt idx="57">
                  <c:v>T2/22</c:v>
                </c:pt>
                <c:pt idx="58">
                  <c:v>T3/22</c:v>
                </c:pt>
                <c:pt idx="59">
                  <c:v>T4/22</c:v>
                </c:pt>
                <c:pt idx="60">
                  <c:v>T1/23</c:v>
                </c:pt>
                <c:pt idx="61">
                  <c:v>T2/23</c:v>
                </c:pt>
                <c:pt idx="62">
                  <c:v>T3/23</c:v>
                </c:pt>
                <c:pt idx="63">
                  <c:v>T4/23</c:v>
                </c:pt>
                <c:pt idx="64">
                  <c:v>T1/24</c:v>
                </c:pt>
              </c:strCache>
            </c:strRef>
          </c:cat>
          <c:val>
            <c:numRef>
              <c:f>'tableau note fr'!$B$10:$BN$10</c:f>
              <c:numCache>
                <c:formatCode>#,##0.0</c:formatCode>
                <c:ptCount val="65"/>
                <c:pt idx="0">
                  <c:v>-11.760493904860514</c:v>
                </c:pt>
                <c:pt idx="1">
                  <c:v>-11.376439540974157</c:v>
                </c:pt>
                <c:pt idx="2">
                  <c:v>-11.707546774199237</c:v>
                </c:pt>
                <c:pt idx="3">
                  <c:v>-9.5250570435126427</c:v>
                </c:pt>
                <c:pt idx="4">
                  <c:v>-18.438210074457384</c:v>
                </c:pt>
                <c:pt idx="5">
                  <c:v>-13.353492384896748</c:v>
                </c:pt>
                <c:pt idx="6">
                  <c:v>-8.3398771422969418</c:v>
                </c:pt>
                <c:pt idx="7">
                  <c:v>-11.027640608881747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-6.3663328535796904</c:v>
                </c:pt>
                <c:pt idx="15">
                  <c:v>-9.8004349690183847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-23.788807201688943</c:v>
                </c:pt>
                <c:pt idx="22">
                  <c:v>-21.891965579068469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-29.150994705705696</c:v>
                </c:pt>
                <c:pt idx="28">
                  <c:v>-26.965288381475794</c:v>
                </c:pt>
                <c:pt idx="29">
                  <c:v>-20.216971341645095</c:v>
                </c:pt>
                <c:pt idx="30">
                  <c:v>-20.789363149769315</c:v>
                </c:pt>
                <c:pt idx="31">
                  <c:v>-18.50333400384844</c:v>
                </c:pt>
                <c:pt idx="32">
                  <c:v>-27.398022856415256</c:v>
                </c:pt>
                <c:pt idx="33">
                  <c:v>-22.820131487915329</c:v>
                </c:pt>
                <c:pt idx="34">
                  <c:v>-26.987361336961236</c:v>
                </c:pt>
                <c:pt idx="35">
                  <c:v>-33.305012733303052</c:v>
                </c:pt>
                <c:pt idx="36">
                  <c:v>-26.764408087130537</c:v>
                </c:pt>
                <c:pt idx="37">
                  <c:v>-16.626704252959748</c:v>
                </c:pt>
                <c:pt idx="38">
                  <c:v>-14.506801572644608</c:v>
                </c:pt>
                <c:pt idx="39">
                  <c:v>-16.7</c:v>
                </c:pt>
                <c:pt idx="40">
                  <c:v>-18.12020796730943</c:v>
                </c:pt>
                <c:pt idx="41" formatCode="0.0">
                  <c:v>-15.241299993196526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-21.239570741294081</c:v>
                </c:pt>
                <c:pt idx="45" formatCode="0.0">
                  <c:v>-24.18775559684142</c:v>
                </c:pt>
                <c:pt idx="46" formatCode="0.0">
                  <c:v>-26.020639530378322</c:v>
                </c:pt>
                <c:pt idx="47" formatCode="0.0">
                  <c:v>-22.058531326387186</c:v>
                </c:pt>
                <c:pt idx="48" formatCode="0.0">
                  <c:v>-22.878127876162324</c:v>
                </c:pt>
                <c:pt idx="49" formatCode="0.0">
                  <c:v>-26.986745192981481</c:v>
                </c:pt>
                <c:pt idx="50">
                  <c:v>-33.978821699551595</c:v>
                </c:pt>
                <c:pt idx="51" formatCode="0.0">
                  <c:v>-39.901098518697189</c:v>
                </c:pt>
                <c:pt idx="52" formatCode="0.0">
                  <c:v>-47.4</c:v>
                </c:pt>
                <c:pt idx="53" formatCode="0.0">
                  <c:v>-49.983603873812115</c:v>
                </c:pt>
                <c:pt idx="54" formatCode="0.0">
                  <c:v>-47.976189869600603</c:v>
                </c:pt>
                <c:pt idx="55" formatCode="0.0">
                  <c:v>-48.996187860965861</c:v>
                </c:pt>
                <c:pt idx="56" formatCode="0.0">
                  <c:v>-50.914989365217139</c:v>
                </c:pt>
                <c:pt idx="57" formatCode="0.0">
                  <c:v>-48.695739372079267</c:v>
                </c:pt>
                <c:pt idx="58" formatCode="0.0">
                  <c:v>-47.705982595091868</c:v>
                </c:pt>
                <c:pt idx="59" formatCode="0.0">
                  <c:v>-52.997909819539736</c:v>
                </c:pt>
                <c:pt idx="60" formatCode="0.0">
                  <c:v>-57.178423227688718</c:v>
                </c:pt>
                <c:pt idx="61" formatCode="0.0">
                  <c:v>-57.331610038737665</c:v>
                </c:pt>
                <c:pt idx="62" formatCode="0.0">
                  <c:v>-53.292717144326474</c:v>
                </c:pt>
                <c:pt idx="63" formatCode="###0.0">
                  <c:v>-56.121074921872378</c:v>
                </c:pt>
                <c:pt idx="64" formatCode="###0.0">
                  <c:v>-52.724256191098604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'tableau note fr'!$A$11</c:f>
              <c:strCache>
                <c:ptCount val="1"/>
                <c:pt idx="0">
                  <c:v>Evolution  future de la situation financière des ménages</c:v>
                </c:pt>
              </c:strCache>
            </c:strRef>
          </c:tx>
          <c:cat>
            <c:strRef>
              <c:f>'tableau note fr'!$B$3:$BN$3</c:f>
              <c:strCache>
                <c:ptCount val="6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  <c:pt idx="55">
                  <c:v>T4/21</c:v>
                </c:pt>
                <c:pt idx="56">
                  <c:v>T1/22</c:v>
                </c:pt>
                <c:pt idx="57">
                  <c:v>T2/22</c:v>
                </c:pt>
                <c:pt idx="58">
                  <c:v>T3/22</c:v>
                </c:pt>
                <c:pt idx="59">
                  <c:v>T4/22</c:v>
                </c:pt>
                <c:pt idx="60">
                  <c:v>T1/23</c:v>
                </c:pt>
                <c:pt idx="61">
                  <c:v>T2/23</c:v>
                </c:pt>
                <c:pt idx="62">
                  <c:v>T3/23</c:v>
                </c:pt>
                <c:pt idx="63">
                  <c:v>T4/23</c:v>
                </c:pt>
                <c:pt idx="64">
                  <c:v>T1/24</c:v>
                </c:pt>
              </c:strCache>
            </c:strRef>
          </c:cat>
          <c:val>
            <c:numRef>
              <c:f>'tableau note fr'!$B$11:$BN$11</c:f>
              <c:numCache>
                <c:formatCode>#,##0.0</c:formatCode>
                <c:ptCount val="65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26.705941849103223</c:v>
                </c:pt>
                <c:pt idx="4">
                  <c:v>26.769154239001953</c:v>
                </c:pt>
                <c:pt idx="5">
                  <c:v>21.986954089697061</c:v>
                </c:pt>
                <c:pt idx="6">
                  <c:v>17.532817766676452</c:v>
                </c:pt>
                <c:pt idx="7">
                  <c:v>17.09400625121032</c:v>
                </c:pt>
                <c:pt idx="8">
                  <c:v>17.787694440036191</c:v>
                </c:pt>
                <c:pt idx="9">
                  <c:v>11.776375704730528</c:v>
                </c:pt>
                <c:pt idx="10">
                  <c:v>7.8068380126684715</c:v>
                </c:pt>
                <c:pt idx="11">
                  <c:v>9.3656519222157435</c:v>
                </c:pt>
                <c:pt idx="12">
                  <c:v>10.223761077165181</c:v>
                </c:pt>
                <c:pt idx="13">
                  <c:v>20.354548457792703</c:v>
                </c:pt>
                <c:pt idx="14">
                  <c:v>15.105327443781253</c:v>
                </c:pt>
                <c:pt idx="15">
                  <c:v>13.999505506513671</c:v>
                </c:pt>
                <c:pt idx="16">
                  <c:v>11.23083364045034</c:v>
                </c:pt>
                <c:pt idx="17">
                  <c:v>11.136340416980383</c:v>
                </c:pt>
                <c:pt idx="18">
                  <c:v>7.665845159401302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-1.7003971659207184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-3.913903848287152</c:v>
                </c:pt>
                <c:pt idx="28">
                  <c:v>8.9330913123193481E-2</c:v>
                </c:pt>
                <c:pt idx="29">
                  <c:v>4.1756310519058966</c:v>
                </c:pt>
                <c:pt idx="30">
                  <c:v>3.3451516718598651</c:v>
                </c:pt>
                <c:pt idx="31">
                  <c:v>7.6417999475620588</c:v>
                </c:pt>
                <c:pt idx="32">
                  <c:v>1.2373351928094023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6.4877666459978158</c:v>
                </c:pt>
                <c:pt idx="36">
                  <c:v>13.359772169150247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>
                  <c:v>25.926424488378256</c:v>
                </c:pt>
                <c:pt idx="41" formatCode="0.0">
                  <c:v>28.130493740025248</c:v>
                </c:pt>
                <c:pt idx="42" formatCode="0.0">
                  <c:v>18.23777204966235</c:v>
                </c:pt>
                <c:pt idx="43" formatCode="0.0">
                  <c:v>19.100000000000001</c:v>
                </c:pt>
                <c:pt idx="44" formatCode="0.0">
                  <c:v>20.68693246510373</c:v>
                </c:pt>
                <c:pt idx="45" formatCode="0.0">
                  <c:v>18.273992721467774</c:v>
                </c:pt>
                <c:pt idx="46" formatCode="0.0">
                  <c:v>12.775065694831193</c:v>
                </c:pt>
                <c:pt idx="47" formatCode="0.0">
                  <c:v>15.949037871016609</c:v>
                </c:pt>
                <c:pt idx="48" formatCode="0.0">
                  <c:v>8.544047683212959</c:v>
                </c:pt>
                <c:pt idx="49" formatCode="0.0">
                  <c:v>-4.5622056678242258</c:v>
                </c:pt>
                <c:pt idx="50" formatCode="0.0">
                  <c:v>-11.891224568065192</c:v>
                </c:pt>
                <c:pt idx="51" formatCode="0.0">
                  <c:v>0.5872218846748406</c:v>
                </c:pt>
                <c:pt idx="52" formatCode="0.0">
                  <c:v>21.2</c:v>
                </c:pt>
                <c:pt idx="53" formatCode="0.0">
                  <c:v>14.805679039075381</c:v>
                </c:pt>
                <c:pt idx="54" formatCode="0.0">
                  <c:v>15.138710068393657</c:v>
                </c:pt>
                <c:pt idx="55" formatCode="0.0">
                  <c:v>15.055968466044563</c:v>
                </c:pt>
                <c:pt idx="56" formatCode="0.0">
                  <c:v>8.2820663349680554</c:v>
                </c:pt>
                <c:pt idx="57" formatCode="0.0">
                  <c:v>-0.1</c:v>
                </c:pt>
                <c:pt idx="58" formatCode="0.0">
                  <c:v>-5.9102037420420341</c:v>
                </c:pt>
                <c:pt idx="59" formatCode="0.0">
                  <c:v>-7.7399452408305418</c:v>
                </c:pt>
                <c:pt idx="60" formatCode="0.0">
                  <c:v>-5.1985459027706948</c:v>
                </c:pt>
                <c:pt idx="61" formatCode="0.0">
                  <c:v>-6.1002172114981841</c:v>
                </c:pt>
                <c:pt idx="62" formatCode="0.0">
                  <c:v>-4.5998255292449253</c:v>
                </c:pt>
                <c:pt idx="63" formatCode="###0.0">
                  <c:v>-10.595611360365607</c:v>
                </c:pt>
                <c:pt idx="64" formatCode="###0.0">
                  <c:v>-13.430489181160725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3987168"/>
        <c:axId val="743988344"/>
      </c:lineChart>
      <c:catAx>
        <c:axId val="7439871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lang="en-US" sz="500"/>
            </a:pPr>
            <a:endParaRPr lang="fr-FR"/>
          </a:p>
        </c:txPr>
        <c:crossAx val="743988344"/>
        <c:crosses val="autoZero"/>
        <c:auto val="1"/>
        <c:lblAlgn val="ctr"/>
        <c:lblOffset val="100"/>
        <c:noMultiLvlLbl val="0"/>
      </c:catAx>
      <c:valAx>
        <c:axId val="743988344"/>
        <c:scaling>
          <c:orientation val="minMax"/>
        </c:scaling>
        <c:delete val="0"/>
        <c:axPos val="l"/>
        <c:majorGridlines/>
        <c:numFmt formatCode="#,##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74398716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lang="en-US" sz="800"/>
          </a:pPr>
          <a:endParaRPr lang="fr-FR"/>
        </a:p>
      </c:txPr>
    </c:legend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527361936278584E-2"/>
          <c:y val="7.2369136076300342E-2"/>
          <c:w val="0.91007862895562319"/>
          <c:h val="0.69152481160186963"/>
        </c:manualLayout>
      </c:layout>
      <c:lineChart>
        <c:grouping val="standard"/>
        <c:varyColors val="0"/>
        <c:ser>
          <c:idx val="0"/>
          <c:order val="0"/>
          <c:tx>
            <c:strRef>
              <c:f>'tableau note fr'!$A$13</c:f>
              <c:strCache>
                <c:ptCount val="1"/>
                <c:pt idx="0">
                  <c:v>Evolution future des prix des produits alimentaires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fr'!$B$3:$BN$3</c:f>
              <c:strCache>
                <c:ptCount val="6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  <c:pt idx="55">
                  <c:v>T4/21</c:v>
                </c:pt>
                <c:pt idx="56">
                  <c:v>T1/22</c:v>
                </c:pt>
                <c:pt idx="57">
                  <c:v>T2/22</c:v>
                </c:pt>
                <c:pt idx="58">
                  <c:v>T3/22</c:v>
                </c:pt>
                <c:pt idx="59">
                  <c:v>T4/22</c:v>
                </c:pt>
                <c:pt idx="60">
                  <c:v>T1/23</c:v>
                </c:pt>
                <c:pt idx="61">
                  <c:v>T2/23</c:v>
                </c:pt>
                <c:pt idx="62">
                  <c:v>T3/23</c:v>
                </c:pt>
                <c:pt idx="63">
                  <c:v>T4/23</c:v>
                </c:pt>
                <c:pt idx="64">
                  <c:v>T1/24</c:v>
                </c:pt>
              </c:strCache>
            </c:strRef>
          </c:cat>
          <c:val>
            <c:numRef>
              <c:f>'tableau note fr'!$B$13:$BN$13</c:f>
              <c:numCache>
                <c:formatCode>#,##0.0</c:formatCode>
                <c:ptCount val="65"/>
                <c:pt idx="0">
                  <c:v>-74.061389031284818</c:v>
                </c:pt>
                <c:pt idx="1">
                  <c:v>-77.716574651610244</c:v>
                </c:pt>
                <c:pt idx="2">
                  <c:v>-78.940542419693813</c:v>
                </c:pt>
                <c:pt idx="3">
                  <c:v>-49.653420650313642</c:v>
                </c:pt>
                <c:pt idx="4">
                  <c:v>-34.869529990694446</c:v>
                </c:pt>
                <c:pt idx="5">
                  <c:v>-33.523065681383407</c:v>
                </c:pt>
                <c:pt idx="6">
                  <c:v>-50.919242344766445</c:v>
                </c:pt>
                <c:pt idx="7">
                  <c:v>-47.871947864454647</c:v>
                </c:pt>
                <c:pt idx="8">
                  <c:v>-46.515022811525746</c:v>
                </c:pt>
                <c:pt idx="9">
                  <c:v>-56.832932011427879</c:v>
                </c:pt>
                <c:pt idx="10">
                  <c:v>-62.176731306136865</c:v>
                </c:pt>
                <c:pt idx="11">
                  <c:v>-70.131788082404384</c:v>
                </c:pt>
                <c:pt idx="12">
                  <c:v>-73.412747182584084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-72.965887012435175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-73.57837146643412</c:v>
                </c:pt>
                <c:pt idx="19">
                  <c:v>-70.049698245525676</c:v>
                </c:pt>
                <c:pt idx="20">
                  <c:v>-76.096296687300466</c:v>
                </c:pt>
                <c:pt idx="21">
                  <c:v>-73.375476646911736</c:v>
                </c:pt>
                <c:pt idx="22">
                  <c:v>-76.007455926126042</c:v>
                </c:pt>
                <c:pt idx="23">
                  <c:v>-76.048555842624666</c:v>
                </c:pt>
                <c:pt idx="24">
                  <c:v>-77.551787041299932</c:v>
                </c:pt>
                <c:pt idx="25">
                  <c:v>-78.042355521266373</c:v>
                </c:pt>
                <c:pt idx="26">
                  <c:v>-76.898841721729937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-79.602800137508083</c:v>
                </c:pt>
                <c:pt idx="40">
                  <c:v>-82.909090889011466</c:v>
                </c:pt>
                <c:pt idx="41" formatCode="0.0">
                  <c:v>-84.024833717392056</c:v>
                </c:pt>
                <c:pt idx="42">
                  <c:v>-82.07803817683758</c:v>
                </c:pt>
                <c:pt idx="43">
                  <c:v>-86.6</c:v>
                </c:pt>
                <c:pt idx="44">
                  <c:v>-87.54271632969234</c:v>
                </c:pt>
                <c:pt idx="45">
                  <c:v>-86.508482649196509</c:v>
                </c:pt>
                <c:pt idx="46">
                  <c:v>-83.288697742697579</c:v>
                </c:pt>
                <c:pt idx="47">
                  <c:v>-82.220036585575144</c:v>
                </c:pt>
                <c:pt idx="48">
                  <c:v>-82.585609750348496</c:v>
                </c:pt>
                <c:pt idx="49" formatCode="0.0">
                  <c:v>-69.044082249115888</c:v>
                </c:pt>
                <c:pt idx="50">
                  <c:v>-68.063522341730973</c:v>
                </c:pt>
                <c:pt idx="51" formatCode="0.0">
                  <c:v>-64.634662916008139</c:v>
                </c:pt>
                <c:pt idx="52" formatCode="0.0">
                  <c:v>-60.2</c:v>
                </c:pt>
                <c:pt idx="53" formatCode="0.0">
                  <c:v>-67.626807058147179</c:v>
                </c:pt>
                <c:pt idx="54" formatCode="0.0">
                  <c:v>-70.948472628894308</c:v>
                </c:pt>
                <c:pt idx="55" formatCode="0.0">
                  <c:v>-76.250623411131571</c:v>
                </c:pt>
                <c:pt idx="56" formatCode="0.0">
                  <c:v>-74.081138579650755</c:v>
                </c:pt>
                <c:pt idx="57" formatCode="0.0">
                  <c:v>-74.293813887540622</c:v>
                </c:pt>
                <c:pt idx="58" formatCode="0.0">
                  <c:v>-73.590712253861895</c:v>
                </c:pt>
                <c:pt idx="59" formatCode="0.0">
                  <c:v>-71.823546131746937</c:v>
                </c:pt>
                <c:pt idx="60" formatCode="0.0">
                  <c:v>-69.775201547129853</c:v>
                </c:pt>
                <c:pt idx="61" formatCode="0.0">
                  <c:v>-67.713945367946124</c:v>
                </c:pt>
                <c:pt idx="62" formatCode="0.0">
                  <c:v>-66.2</c:v>
                </c:pt>
                <c:pt idx="63" formatCode="###0.0">
                  <c:v>-77.566000852644962</c:v>
                </c:pt>
                <c:pt idx="64" formatCode="###0.0">
                  <c:v>-70.106316668884432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'tableau note fr'!$A$14</c:f>
              <c:strCache>
                <c:ptCount val="1"/>
                <c:pt idx="0">
                  <c:v>Evolution  passée des prix des produits alimentaires</c:v>
                </c:pt>
              </c:strCache>
            </c:strRef>
          </c:tx>
          <c:cat>
            <c:strRef>
              <c:f>'tableau note fr'!$B$3:$BN$3</c:f>
              <c:strCache>
                <c:ptCount val="6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  <c:pt idx="45">
                  <c:v>T2/19</c:v>
                </c:pt>
                <c:pt idx="46">
                  <c:v>T3/19</c:v>
                </c:pt>
                <c:pt idx="47">
                  <c:v>T4/19</c:v>
                </c:pt>
                <c:pt idx="48">
                  <c:v>T1/20</c:v>
                </c:pt>
                <c:pt idx="49">
                  <c:v>T2/20</c:v>
                </c:pt>
                <c:pt idx="50">
                  <c:v>T3/20</c:v>
                </c:pt>
                <c:pt idx="51">
                  <c:v>T4/20</c:v>
                </c:pt>
                <c:pt idx="52">
                  <c:v>T1/21</c:v>
                </c:pt>
                <c:pt idx="53">
                  <c:v>T2/21</c:v>
                </c:pt>
                <c:pt idx="54">
                  <c:v>T3/21</c:v>
                </c:pt>
                <c:pt idx="55">
                  <c:v>T4/21</c:v>
                </c:pt>
                <c:pt idx="56">
                  <c:v>T1/22</c:v>
                </c:pt>
                <c:pt idx="57">
                  <c:v>T2/22</c:v>
                </c:pt>
                <c:pt idx="58">
                  <c:v>T3/22</c:v>
                </c:pt>
                <c:pt idx="59">
                  <c:v>T4/22</c:v>
                </c:pt>
                <c:pt idx="60">
                  <c:v>T1/23</c:v>
                </c:pt>
                <c:pt idx="61">
                  <c:v>T2/23</c:v>
                </c:pt>
                <c:pt idx="62">
                  <c:v>T3/23</c:v>
                </c:pt>
                <c:pt idx="63">
                  <c:v>T4/23</c:v>
                </c:pt>
                <c:pt idx="64">
                  <c:v>T1/24</c:v>
                </c:pt>
              </c:strCache>
            </c:strRef>
          </c:cat>
          <c:val>
            <c:numRef>
              <c:f>'tableau note fr'!$B$14:$BN$14</c:f>
              <c:numCache>
                <c:formatCode>#,##0.0</c:formatCode>
                <c:ptCount val="65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-83.278098478101555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-90.967802162493626</c:v>
                </c:pt>
                <c:pt idx="12">
                  <c:v>-95.526783459398686</c:v>
                </c:pt>
                <c:pt idx="13">
                  <c:v>-87.197236284295684</c:v>
                </c:pt>
                <c:pt idx="14">
                  <c:v>-89.924388392526282</c:v>
                </c:pt>
                <c:pt idx="15">
                  <c:v>-92.495216554147646</c:v>
                </c:pt>
                <c:pt idx="16">
                  <c:v>-91.625316584482007</c:v>
                </c:pt>
                <c:pt idx="17">
                  <c:v>-91.140544889708991</c:v>
                </c:pt>
                <c:pt idx="18">
                  <c:v>-91.653648288633676</c:v>
                </c:pt>
                <c:pt idx="19">
                  <c:v>-90.602273539903038</c:v>
                </c:pt>
                <c:pt idx="20">
                  <c:v>-91.630328830979806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-90.842402571703047</c:v>
                </c:pt>
                <c:pt idx="24">
                  <c:v>-89.421972084851788</c:v>
                </c:pt>
                <c:pt idx="25">
                  <c:v>-84.135715875789217</c:v>
                </c:pt>
                <c:pt idx="26">
                  <c:v>-81.763249669623647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-84.284507159523855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-87.871778057968328</c:v>
                </c:pt>
                <c:pt idx="34">
                  <c:v>-87.672521775531067</c:v>
                </c:pt>
                <c:pt idx="35">
                  <c:v>-87.308587775463508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-82.805018292489677</c:v>
                </c:pt>
                <c:pt idx="39">
                  <c:v>-88.513579156072012</c:v>
                </c:pt>
                <c:pt idx="40">
                  <c:v>-86.694812387811382</c:v>
                </c:pt>
                <c:pt idx="41" formatCode="0.0">
                  <c:v>-88.182833745436824</c:v>
                </c:pt>
                <c:pt idx="42">
                  <c:v>-88.119908444008828</c:v>
                </c:pt>
                <c:pt idx="43">
                  <c:v>-90.3</c:v>
                </c:pt>
                <c:pt idx="44">
                  <c:v>-88.13641942112767</c:v>
                </c:pt>
                <c:pt idx="45">
                  <c:v>-88.912542109472369</c:v>
                </c:pt>
                <c:pt idx="46">
                  <c:v>-83.748311328811582</c:v>
                </c:pt>
                <c:pt idx="47">
                  <c:v>-85.084964738360156</c:v>
                </c:pt>
                <c:pt idx="48">
                  <c:v>-82.7740856729569</c:v>
                </c:pt>
                <c:pt idx="49" formatCode="0.0">
                  <c:v>-67.616999612935103</c:v>
                </c:pt>
                <c:pt idx="50">
                  <c:v>-75.123128911649388</c:v>
                </c:pt>
                <c:pt idx="51" formatCode="0.0">
                  <c:v>-74.676635648394679</c:v>
                </c:pt>
                <c:pt idx="52" formatCode="0.0">
                  <c:v>-74</c:v>
                </c:pt>
                <c:pt idx="53" formatCode="0.0">
                  <c:v>-86.830108784480757</c:v>
                </c:pt>
                <c:pt idx="54" formatCode="0.0">
                  <c:v>-86.892269253653168</c:v>
                </c:pt>
                <c:pt idx="55" formatCode="0.0">
                  <c:v>-95.946419387502218</c:v>
                </c:pt>
                <c:pt idx="56" formatCode="0.0">
                  <c:v>-97.899492867529617</c:v>
                </c:pt>
                <c:pt idx="57" formatCode="0.0">
                  <c:v>-99.090827572349781</c:v>
                </c:pt>
                <c:pt idx="58" formatCode="0.0">
                  <c:v>-99.053454059204242</c:v>
                </c:pt>
                <c:pt idx="59" formatCode="0.0">
                  <c:v>-98.761441528769112</c:v>
                </c:pt>
                <c:pt idx="60" formatCode="0.0">
                  <c:v>-98.724700288378131</c:v>
                </c:pt>
                <c:pt idx="61" formatCode="0.0">
                  <c:v>-97.999403296955293</c:v>
                </c:pt>
                <c:pt idx="62" formatCode="0.0">
                  <c:v>-97.878392580040455</c:v>
                </c:pt>
                <c:pt idx="63" formatCode="###0.0">
                  <c:v>-97.443679394696687</c:v>
                </c:pt>
                <c:pt idx="64" formatCode="###0.0">
                  <c:v>-96.499726659589314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3987952"/>
        <c:axId val="622095128"/>
      </c:lineChart>
      <c:catAx>
        <c:axId val="7439879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lang="en-US" sz="500"/>
            </a:pPr>
            <a:endParaRPr lang="fr-FR"/>
          </a:p>
        </c:txPr>
        <c:crossAx val="622095128"/>
        <c:crosses val="autoZero"/>
        <c:auto val="1"/>
        <c:lblAlgn val="ctr"/>
        <c:lblOffset val="100"/>
        <c:noMultiLvlLbl val="0"/>
      </c:catAx>
      <c:valAx>
        <c:axId val="622095128"/>
        <c:scaling>
          <c:orientation val="minMax"/>
        </c:scaling>
        <c:delete val="0"/>
        <c:axPos val="l"/>
        <c:majorGridlines/>
        <c:numFmt formatCode="#,##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900"/>
            </a:pPr>
            <a:endParaRPr lang="fr-FR"/>
          </a:p>
        </c:txPr>
        <c:crossAx val="7439879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6170983197441825E-2"/>
          <c:y val="0.89725535740182172"/>
          <c:w val="0.94568426954645701"/>
          <c:h val="7.9626369879014391E-2"/>
        </c:manualLayout>
      </c:layout>
      <c:overlay val="0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  <c:showDLblsOverMax val="0"/>
  </c:chart>
  <c:spPr>
    <a:ln w="3175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4459D-4D37-4AE8-AA80-EDCED63B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1576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10226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Siham Zarrari</cp:lastModifiedBy>
  <cp:revision>8</cp:revision>
  <cp:lastPrinted>2024-04-16T13:26:00Z</cp:lastPrinted>
  <dcterms:created xsi:type="dcterms:W3CDTF">2024-04-15T09:52:00Z</dcterms:created>
  <dcterms:modified xsi:type="dcterms:W3CDTF">2024-04-16T13:42:00Z</dcterms:modified>
</cp:coreProperties>
</file>